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D619" w14:textId="3ECBB886" w:rsidR="0069731E" w:rsidRPr="001700A3" w:rsidRDefault="0069731E" w:rsidP="0069731E">
      <w:pPr>
        <w:spacing w:after="0" w:line="240" w:lineRule="atLeast"/>
        <w:rPr>
          <w:rFonts w:ascii="Arial" w:hAnsi="Arial" w:cs="Arial"/>
          <w:b/>
          <w:color w:val="3243BE"/>
          <w:sz w:val="26"/>
          <w:szCs w:val="26"/>
        </w:rPr>
      </w:pPr>
      <w:r w:rsidRPr="001700A3">
        <w:rPr>
          <w:rFonts w:ascii="Arial" w:hAnsi="Arial" w:cs="Arial"/>
          <w:b/>
          <w:color w:val="3243BE"/>
          <w:sz w:val="26"/>
          <w:szCs w:val="26"/>
        </w:rPr>
        <w:t xml:space="preserve">01. </w:t>
      </w:r>
      <w:r>
        <w:rPr>
          <w:rFonts w:ascii="Arial" w:hAnsi="Arial" w:cs="Arial"/>
          <w:b/>
          <w:color w:val="3243BE"/>
          <w:sz w:val="26"/>
          <w:szCs w:val="26"/>
        </w:rPr>
        <w:t>MODE DE CALCUL</w:t>
      </w:r>
    </w:p>
    <w:p w14:paraId="0CD06144" w14:textId="77777777" w:rsidR="0069731E" w:rsidRDefault="0069731E" w:rsidP="0069731E">
      <w:pPr>
        <w:spacing w:after="0" w:line="240" w:lineRule="atLeast"/>
        <w:rPr>
          <w:rFonts w:ascii="Arial" w:hAnsi="Arial" w:cs="Arial"/>
          <w:color w:val="4A4A4A"/>
          <w:sz w:val="20"/>
          <w:szCs w:val="20"/>
        </w:rPr>
      </w:pPr>
    </w:p>
    <w:p w14:paraId="7EE5B7E2" w14:textId="5588248E" w:rsidR="0069731E" w:rsidRPr="001700A3" w:rsidRDefault="0069731E" w:rsidP="0069731E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700A3">
        <w:rPr>
          <w:rFonts w:ascii="Arial" w:hAnsi="Arial" w:cs="Arial"/>
          <w:color w:val="4A4A4A"/>
          <w:sz w:val="20"/>
          <w:szCs w:val="20"/>
        </w:rPr>
        <w:t>Tous les actes</w:t>
      </w:r>
      <w:r>
        <w:rPr>
          <w:rFonts w:ascii="Arial" w:hAnsi="Arial" w:cs="Arial"/>
          <w:color w:val="4A4A4A"/>
          <w:sz w:val="20"/>
          <w:szCs w:val="20"/>
        </w:rPr>
        <w:t xml:space="preserve">, </w:t>
      </w:r>
      <w:r w:rsidRPr="001700A3">
        <w:rPr>
          <w:rFonts w:ascii="Arial" w:hAnsi="Arial" w:cs="Arial"/>
          <w:color w:val="4A4A4A"/>
          <w:sz w:val="20"/>
          <w:szCs w:val="20"/>
        </w:rPr>
        <w:t>tarifés</w:t>
      </w:r>
      <w:r>
        <w:rPr>
          <w:rFonts w:ascii="Arial" w:hAnsi="Arial" w:cs="Arial"/>
          <w:color w:val="4A4A4A"/>
          <w:sz w:val="20"/>
          <w:szCs w:val="20"/>
        </w:rPr>
        <w:t xml:space="preserve"> ou non,</w:t>
      </w:r>
      <w:r w:rsidRPr="001700A3">
        <w:rPr>
          <w:rFonts w:ascii="Arial" w:hAnsi="Arial" w:cs="Arial"/>
          <w:color w:val="4A4A4A"/>
          <w:sz w:val="20"/>
          <w:szCs w:val="20"/>
        </w:rPr>
        <w:t xml:space="preserve"> sont stipulés hors taxes. Il sera facturé en sus :</w:t>
      </w:r>
    </w:p>
    <w:p w14:paraId="4DCC4539" w14:textId="77777777" w:rsidR="0069731E" w:rsidRPr="001700A3" w:rsidRDefault="0069731E" w:rsidP="0069731E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bCs/>
          <w:color w:val="4A4A4A"/>
          <w:sz w:val="20"/>
          <w:szCs w:val="20"/>
        </w:rPr>
      </w:pPr>
      <w:r w:rsidRPr="001700A3">
        <w:rPr>
          <w:rFonts w:ascii="Arial" w:hAnsi="Arial" w:cs="Arial"/>
          <w:color w:val="4A4A4A"/>
          <w:sz w:val="20"/>
          <w:szCs w:val="20"/>
        </w:rPr>
        <w:t xml:space="preserve">La TVA au taux de </w:t>
      </w:r>
      <w:r w:rsidRPr="001700A3">
        <w:rPr>
          <w:rFonts w:ascii="Arial" w:hAnsi="Arial" w:cs="Arial"/>
          <w:b/>
          <w:color w:val="4A4A4A"/>
          <w:sz w:val="20"/>
          <w:szCs w:val="20"/>
        </w:rPr>
        <w:t>20,00 %</w:t>
      </w:r>
      <w:r>
        <w:rPr>
          <w:rFonts w:ascii="Arial" w:hAnsi="Arial" w:cs="Arial"/>
          <w:b/>
          <w:color w:val="4A4A4A"/>
          <w:sz w:val="20"/>
          <w:szCs w:val="20"/>
        </w:rPr>
        <w:t> ;</w:t>
      </w:r>
    </w:p>
    <w:p w14:paraId="308879BE" w14:textId="1C97C3D9" w:rsidR="0069731E" w:rsidRPr="001700A3" w:rsidRDefault="0069731E" w:rsidP="0069731E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b/>
          <w:bCs/>
          <w:color w:val="4A4A4A"/>
          <w:sz w:val="20"/>
          <w:szCs w:val="20"/>
        </w:rPr>
      </w:pPr>
      <w:r w:rsidRPr="001700A3">
        <w:rPr>
          <w:rFonts w:ascii="Arial" w:hAnsi="Arial" w:cs="Arial"/>
          <w:color w:val="4A4A4A"/>
          <w:sz w:val="20"/>
          <w:szCs w:val="20"/>
        </w:rPr>
        <w:t xml:space="preserve">L’indemnité forfaitaire de transports, pour tous les actes à </w:t>
      </w:r>
      <w:r w:rsidR="00F905B9">
        <w:rPr>
          <w:rFonts w:ascii="Arial" w:hAnsi="Arial" w:cs="Arial"/>
          <w:b/>
          <w:color w:val="4A4A4A"/>
          <w:sz w:val="20"/>
          <w:szCs w:val="20"/>
        </w:rPr>
        <w:t>9</w:t>
      </w:r>
      <w:r w:rsidRPr="001700A3">
        <w:rPr>
          <w:rFonts w:ascii="Arial" w:hAnsi="Arial" w:cs="Arial"/>
          <w:b/>
          <w:color w:val="4A4A4A"/>
          <w:sz w:val="20"/>
          <w:szCs w:val="20"/>
        </w:rPr>
        <w:t>,</w:t>
      </w:r>
      <w:r w:rsidR="00F905B9">
        <w:rPr>
          <w:rFonts w:ascii="Arial" w:hAnsi="Arial" w:cs="Arial"/>
          <w:b/>
          <w:color w:val="4A4A4A"/>
          <w:sz w:val="20"/>
          <w:szCs w:val="20"/>
        </w:rPr>
        <w:t>40</w:t>
      </w:r>
      <w:r w:rsidRPr="001700A3">
        <w:rPr>
          <w:rFonts w:ascii="Arial" w:hAnsi="Arial" w:cs="Arial"/>
          <w:b/>
          <w:color w:val="4A4A4A"/>
          <w:sz w:val="20"/>
          <w:szCs w:val="20"/>
        </w:rPr>
        <w:t xml:space="preserve"> euros</w:t>
      </w:r>
      <w:r w:rsidRPr="00495CCD">
        <w:rPr>
          <w:rFonts w:ascii="Arial" w:hAnsi="Arial" w:cs="Arial"/>
          <w:color w:val="4A4A4A"/>
          <w:sz w:val="20"/>
          <w:szCs w:val="20"/>
        </w:rPr>
        <w:t xml:space="preserve"> </w:t>
      </w:r>
      <w:r w:rsidRPr="001700A3">
        <w:rPr>
          <w:rFonts w:ascii="Arial" w:hAnsi="Arial" w:cs="Arial"/>
          <w:color w:val="4A4A4A"/>
          <w:sz w:val="20"/>
          <w:szCs w:val="20"/>
        </w:rPr>
        <w:t>hors taxes</w:t>
      </w:r>
      <w:r>
        <w:rPr>
          <w:rFonts w:ascii="Arial" w:hAnsi="Arial" w:cs="Arial"/>
          <w:color w:val="4A4A4A"/>
          <w:sz w:val="20"/>
          <w:szCs w:val="20"/>
        </w:rPr>
        <w:t> ;</w:t>
      </w:r>
    </w:p>
    <w:p w14:paraId="34BA2506" w14:textId="16CDE7F0" w:rsidR="0069731E" w:rsidRPr="0069731E" w:rsidRDefault="0069731E" w:rsidP="0069731E">
      <w:pPr>
        <w:pStyle w:val="Paragraphedeliste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700A3">
        <w:rPr>
          <w:rFonts w:ascii="Arial" w:hAnsi="Arial" w:cs="Arial"/>
          <w:color w:val="4A4A4A"/>
          <w:sz w:val="20"/>
          <w:szCs w:val="20"/>
        </w:rPr>
        <w:t>Les débours exposés (articles R.444-12 et article annexe 4-8-I du code de commerce pour les actes tarifés)</w:t>
      </w:r>
      <w:r>
        <w:rPr>
          <w:rFonts w:ascii="Arial" w:hAnsi="Arial" w:cs="Arial"/>
          <w:color w:val="4A4A4A"/>
          <w:sz w:val="20"/>
          <w:szCs w:val="20"/>
        </w:rPr>
        <w:t>.</w:t>
      </w:r>
    </w:p>
    <w:p w14:paraId="5402589D" w14:textId="77777777" w:rsidR="001928F4" w:rsidRDefault="001928F4"/>
    <w:p w14:paraId="790E6203" w14:textId="5102DD98" w:rsidR="001700A3" w:rsidRPr="001700A3" w:rsidRDefault="001700A3" w:rsidP="001928F4">
      <w:pPr>
        <w:spacing w:after="0" w:line="240" w:lineRule="atLeast"/>
        <w:rPr>
          <w:rFonts w:ascii="Arial" w:hAnsi="Arial" w:cs="Arial"/>
          <w:b/>
          <w:color w:val="3243BE"/>
          <w:sz w:val="26"/>
          <w:szCs w:val="26"/>
        </w:rPr>
      </w:pPr>
      <w:r w:rsidRPr="001700A3">
        <w:rPr>
          <w:rFonts w:ascii="Arial" w:hAnsi="Arial" w:cs="Arial"/>
          <w:b/>
          <w:color w:val="3243BE"/>
          <w:sz w:val="26"/>
          <w:szCs w:val="26"/>
        </w:rPr>
        <w:t>0</w:t>
      </w:r>
      <w:r w:rsidR="0069731E">
        <w:rPr>
          <w:rFonts w:ascii="Arial" w:hAnsi="Arial" w:cs="Arial"/>
          <w:b/>
          <w:color w:val="3243BE"/>
          <w:sz w:val="26"/>
          <w:szCs w:val="26"/>
        </w:rPr>
        <w:t>2</w:t>
      </w:r>
      <w:r w:rsidRPr="001700A3">
        <w:rPr>
          <w:rFonts w:ascii="Arial" w:hAnsi="Arial" w:cs="Arial"/>
          <w:b/>
          <w:color w:val="3243BE"/>
          <w:sz w:val="26"/>
          <w:szCs w:val="26"/>
        </w:rPr>
        <w:t>. REMUNERATIONS TARIFEES</w:t>
      </w:r>
      <w:r w:rsidR="00F37185" w:rsidRPr="00F37185">
        <w:rPr>
          <w:rFonts w:ascii="Arial" w:hAnsi="Arial" w:cs="Arial"/>
          <w:bCs/>
          <w:i/>
          <w:iCs/>
          <w:color w:val="3243BE"/>
          <w:vertAlign w:val="superscript"/>
        </w:rPr>
        <w:t xml:space="preserve"> </w:t>
      </w:r>
      <w:r w:rsidR="00F37185" w:rsidRPr="00B50391">
        <w:rPr>
          <w:rFonts w:ascii="Arial" w:hAnsi="Arial" w:cs="Arial"/>
          <w:bCs/>
          <w:i/>
          <w:iCs/>
          <w:color w:val="3243BE"/>
          <w:vertAlign w:val="superscript"/>
        </w:rPr>
        <w:t xml:space="preserve">tarif </w:t>
      </w:r>
      <w:r w:rsidR="00F37185">
        <w:rPr>
          <w:rFonts w:ascii="Arial" w:hAnsi="Arial" w:cs="Arial"/>
          <w:bCs/>
          <w:i/>
          <w:iCs/>
          <w:color w:val="3243BE"/>
          <w:vertAlign w:val="superscript"/>
        </w:rPr>
        <w:t>applicable depuis le 1er janvier 2021</w:t>
      </w:r>
    </w:p>
    <w:p w14:paraId="37D30B45" w14:textId="77777777" w:rsidR="001700A3" w:rsidRDefault="001700A3" w:rsidP="001928F4">
      <w:pPr>
        <w:spacing w:after="0" w:line="240" w:lineRule="atLeast"/>
        <w:rPr>
          <w:rFonts w:ascii="Arial" w:hAnsi="Arial" w:cs="Arial"/>
          <w:color w:val="4A4A4A"/>
          <w:sz w:val="20"/>
          <w:szCs w:val="20"/>
        </w:rPr>
      </w:pPr>
    </w:p>
    <w:p w14:paraId="2C48779F" w14:textId="488E945A" w:rsidR="00F905B9" w:rsidRPr="001700A3" w:rsidRDefault="001700A3" w:rsidP="00CC0E6C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700A3">
        <w:rPr>
          <w:rFonts w:ascii="Arial" w:hAnsi="Arial" w:cs="Arial"/>
          <w:color w:val="4A4A4A"/>
          <w:sz w:val="20"/>
          <w:szCs w:val="20"/>
        </w:rPr>
        <w:t xml:space="preserve">Voir </w:t>
      </w:r>
      <w:hyperlink r:id="rId7" w:history="1">
        <w:r w:rsidRPr="00F905B9">
          <w:rPr>
            <w:rStyle w:val="Lienhypertexte"/>
            <w:rFonts w:ascii="Arial" w:hAnsi="Arial" w:cs="Arial"/>
            <w:sz w:val="20"/>
            <w:szCs w:val="20"/>
          </w:rPr>
          <w:t>Livre IV Titre IV bis du Code de Commerce et articles A.444-10 à A.444-52 du même code</w:t>
        </w:r>
      </w:hyperlink>
      <w:r w:rsidRPr="001700A3">
        <w:rPr>
          <w:rFonts w:ascii="Arial" w:hAnsi="Arial" w:cs="Arial"/>
          <w:color w:val="4A4A4A"/>
          <w:sz w:val="20"/>
          <w:szCs w:val="20"/>
        </w:rPr>
        <w:t>.</w:t>
      </w:r>
    </w:p>
    <w:p w14:paraId="3422CA85" w14:textId="32D7A127" w:rsidR="0069731E" w:rsidRDefault="0069731E" w:rsidP="0069731E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>
        <w:rPr>
          <w:rFonts w:ascii="Arial" w:hAnsi="Arial" w:cs="Arial"/>
          <w:color w:val="4A4A4A"/>
          <w:sz w:val="20"/>
          <w:szCs w:val="20"/>
        </w:rPr>
        <w:t>Nous tenons les textes en vigueur ou un</w:t>
      </w:r>
      <w:r w:rsidRPr="001700A3">
        <w:rPr>
          <w:rFonts w:ascii="Arial" w:hAnsi="Arial" w:cs="Arial"/>
          <w:color w:val="4A4A4A"/>
          <w:sz w:val="20"/>
          <w:szCs w:val="20"/>
        </w:rPr>
        <w:t xml:space="preserve"> Code de Commerce </w:t>
      </w:r>
      <w:r>
        <w:rPr>
          <w:rFonts w:ascii="Arial" w:hAnsi="Arial" w:cs="Arial"/>
          <w:color w:val="4A4A4A"/>
          <w:sz w:val="20"/>
          <w:szCs w:val="20"/>
        </w:rPr>
        <w:t>à votre disposition sur simple demande.</w:t>
      </w:r>
    </w:p>
    <w:p w14:paraId="303CC6D5" w14:textId="77777777" w:rsidR="0069731E" w:rsidRPr="00DE7A7B" w:rsidRDefault="0069731E" w:rsidP="001928F4">
      <w:pPr>
        <w:spacing w:line="280" w:lineRule="atLeast"/>
        <w:rPr>
          <w:rFonts w:ascii="Arial" w:hAnsi="Arial"/>
          <w:b/>
          <w:bCs/>
          <w:color w:val="4A4A4A"/>
        </w:rPr>
      </w:pPr>
    </w:p>
    <w:p w14:paraId="14B3EEBD" w14:textId="4C60F055" w:rsidR="001700A3" w:rsidRDefault="001700A3" w:rsidP="001036EA">
      <w:pPr>
        <w:spacing w:after="0" w:line="280" w:lineRule="atLeast"/>
      </w:pPr>
      <w:r w:rsidRPr="001700A3">
        <w:rPr>
          <w:rFonts w:ascii="Arial" w:hAnsi="Arial" w:cs="Arial"/>
          <w:b/>
          <w:color w:val="3243BE"/>
          <w:sz w:val="26"/>
          <w:szCs w:val="26"/>
        </w:rPr>
        <w:t>0</w:t>
      </w:r>
      <w:r w:rsidR="0069731E">
        <w:rPr>
          <w:rFonts w:ascii="Arial" w:hAnsi="Arial" w:cs="Arial"/>
          <w:b/>
          <w:color w:val="3243BE"/>
          <w:sz w:val="26"/>
          <w:szCs w:val="26"/>
        </w:rPr>
        <w:t>3</w:t>
      </w:r>
      <w:r w:rsidRPr="001700A3">
        <w:rPr>
          <w:rFonts w:ascii="Arial" w:hAnsi="Arial" w:cs="Arial"/>
          <w:b/>
          <w:color w:val="3243BE"/>
          <w:sz w:val="26"/>
          <w:szCs w:val="26"/>
        </w:rPr>
        <w:t xml:space="preserve">. REMUNERATIONS </w:t>
      </w:r>
      <w:r>
        <w:rPr>
          <w:rFonts w:ascii="Arial" w:hAnsi="Arial" w:cs="Arial"/>
          <w:b/>
          <w:color w:val="3243BE"/>
          <w:sz w:val="26"/>
          <w:szCs w:val="26"/>
        </w:rPr>
        <w:t>LIBRES</w:t>
      </w:r>
      <w:r w:rsidRPr="001700A3">
        <w:rPr>
          <w:rFonts w:ascii="Arial" w:hAnsi="Arial" w:cs="Arial"/>
          <w:b/>
          <w:color w:val="3243BE"/>
          <w:sz w:val="26"/>
          <w:szCs w:val="26"/>
        </w:rPr>
        <w:t xml:space="preserve"> </w:t>
      </w:r>
      <w:r w:rsidR="001928F4">
        <w:rPr>
          <w:rFonts w:ascii="Arial" w:hAnsi="Arial" w:cs="Arial"/>
          <w:b/>
          <w:color w:val="3243BE"/>
          <w:sz w:val="26"/>
          <w:szCs w:val="26"/>
          <w:vertAlign w:val="superscript"/>
        </w:rPr>
        <w:t>(</w:t>
      </w:r>
      <w:r w:rsidR="00F37185">
        <w:rPr>
          <w:rFonts w:ascii="Arial" w:hAnsi="Arial" w:cs="Arial"/>
          <w:b/>
          <w:color w:val="3243BE"/>
          <w:sz w:val="26"/>
          <w:szCs w:val="26"/>
          <w:vertAlign w:val="superscript"/>
        </w:rPr>
        <w:t>*</w:t>
      </w:r>
      <w:r w:rsidRPr="001700A3">
        <w:rPr>
          <w:rFonts w:ascii="Arial" w:hAnsi="Arial" w:cs="Arial"/>
          <w:b/>
          <w:color w:val="3243BE"/>
          <w:sz w:val="26"/>
          <w:szCs w:val="26"/>
          <w:vertAlign w:val="superscript"/>
        </w:rPr>
        <w:t>)</w:t>
      </w:r>
      <w:r w:rsidR="00B50391">
        <w:rPr>
          <w:rFonts w:ascii="Arial" w:hAnsi="Arial" w:cs="Arial"/>
          <w:b/>
          <w:color w:val="3243BE"/>
          <w:sz w:val="26"/>
          <w:szCs w:val="26"/>
          <w:vertAlign w:val="superscript"/>
        </w:rPr>
        <w:t xml:space="preserve"> </w:t>
      </w:r>
      <w:r w:rsidR="00B50391" w:rsidRPr="00B50391">
        <w:rPr>
          <w:rFonts w:ascii="Arial" w:hAnsi="Arial" w:cs="Arial"/>
          <w:bCs/>
          <w:i/>
          <w:iCs/>
          <w:color w:val="3243BE"/>
          <w:vertAlign w:val="superscript"/>
        </w:rPr>
        <w:t>tarif actualisé a</w:t>
      </w:r>
      <w:r w:rsidR="00BA36F9">
        <w:rPr>
          <w:rFonts w:ascii="Arial" w:hAnsi="Arial" w:cs="Arial"/>
          <w:bCs/>
          <w:i/>
          <w:iCs/>
          <w:color w:val="3243BE"/>
          <w:vertAlign w:val="superscript"/>
        </w:rPr>
        <w:t>u</w:t>
      </w:r>
      <w:r w:rsidR="00B978C5">
        <w:rPr>
          <w:rFonts w:ascii="Arial" w:hAnsi="Arial" w:cs="Arial"/>
          <w:bCs/>
          <w:i/>
          <w:iCs/>
          <w:color w:val="3243BE"/>
          <w:vertAlign w:val="superscript"/>
        </w:rPr>
        <w:t xml:space="preserve"> 20 octobre</w:t>
      </w:r>
      <w:r w:rsidR="00BA36F9">
        <w:rPr>
          <w:rFonts w:ascii="Arial" w:hAnsi="Arial" w:cs="Arial"/>
          <w:bCs/>
          <w:i/>
          <w:iCs/>
          <w:color w:val="3243BE"/>
          <w:vertAlign w:val="superscript"/>
        </w:rPr>
        <w:t xml:space="preserve"> 2022</w:t>
      </w:r>
    </w:p>
    <w:p w14:paraId="45E6D95A" w14:textId="77777777" w:rsidR="001036EA" w:rsidRPr="001036EA" w:rsidRDefault="001036EA" w:rsidP="00CC0E6C">
      <w:pPr>
        <w:spacing w:after="0" w:line="280" w:lineRule="atLeast"/>
        <w:jc w:val="both"/>
        <w:rPr>
          <w:rFonts w:ascii="Arial" w:hAnsi="Arial" w:cs="Arial"/>
          <w:color w:val="4A4A4A"/>
          <w:sz w:val="20"/>
          <w:szCs w:val="20"/>
        </w:rPr>
      </w:pPr>
    </w:p>
    <w:p w14:paraId="55DA74F1" w14:textId="7AF4A483" w:rsidR="001700A3" w:rsidRDefault="001700A3" w:rsidP="00CC0E6C">
      <w:pPr>
        <w:spacing w:after="0" w:line="28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700A3">
        <w:rPr>
          <w:rFonts w:ascii="Arial" w:hAnsi="Arial" w:cs="Arial"/>
          <w:b/>
          <w:bCs/>
          <w:color w:val="4A4A4A"/>
          <w:sz w:val="20"/>
          <w:szCs w:val="20"/>
        </w:rPr>
        <w:t>Pour les démarches et prestations supplémentaires</w:t>
      </w:r>
      <w:r w:rsidR="009247E6">
        <w:rPr>
          <w:rFonts w:ascii="Arial" w:hAnsi="Arial" w:cs="Arial"/>
          <w:b/>
          <w:bCs/>
          <w:color w:val="4A4A4A"/>
          <w:sz w:val="20"/>
          <w:szCs w:val="20"/>
        </w:rPr>
        <w:t xml:space="preserve"> (non répétibles)</w:t>
      </w:r>
      <w:r w:rsidRPr="001700A3">
        <w:rPr>
          <w:rFonts w:ascii="Arial" w:hAnsi="Arial" w:cs="Arial"/>
          <w:b/>
          <w:bCs/>
          <w:color w:val="4A4A4A"/>
          <w:sz w:val="20"/>
          <w:szCs w:val="20"/>
        </w:rPr>
        <w:t xml:space="preserve"> </w:t>
      </w:r>
      <w:r w:rsidR="0069731E">
        <w:rPr>
          <w:rFonts w:ascii="Arial" w:hAnsi="Arial" w:cs="Arial"/>
          <w:b/>
          <w:bCs/>
          <w:color w:val="4A4A4A"/>
          <w:sz w:val="20"/>
          <w:szCs w:val="20"/>
        </w:rPr>
        <w:t>- A</w:t>
      </w:r>
      <w:r w:rsidRPr="001700A3">
        <w:rPr>
          <w:rFonts w:ascii="Arial" w:hAnsi="Arial" w:cs="Arial"/>
          <w:b/>
          <w:bCs/>
          <w:color w:val="4A4A4A"/>
          <w:sz w:val="20"/>
          <w:szCs w:val="20"/>
        </w:rPr>
        <w:t>nnexe 4-9 décret 2016-230 du 26 février 2016.</w:t>
      </w:r>
    </w:p>
    <w:p w14:paraId="58420CAE" w14:textId="62442EA2" w:rsidR="00CC0E6C" w:rsidRDefault="00CC0E6C" w:rsidP="00CC0E6C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6CBDE1A1" w14:textId="20710904" w:rsidR="00CC0E6C" w:rsidRDefault="00CC0E6C" w:rsidP="00CC0E6C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 d’urgence, il est rajouté </w:t>
      </w:r>
      <w:r w:rsidR="009247E6">
        <w:rPr>
          <w:rFonts w:ascii="Arial" w:hAnsi="Arial" w:cs="Arial"/>
          <w:sz w:val="20"/>
          <w:szCs w:val="20"/>
        </w:rPr>
        <w:t xml:space="preserve">pour les actes suivants </w:t>
      </w:r>
      <w:r>
        <w:rPr>
          <w:rFonts w:ascii="Arial" w:hAnsi="Arial" w:cs="Arial"/>
          <w:sz w:val="20"/>
          <w:szCs w:val="20"/>
        </w:rPr>
        <w:t xml:space="preserve">un honoraire de 100€ HT </w:t>
      </w:r>
      <w:r w:rsidR="0069731E">
        <w:rPr>
          <w:rFonts w:ascii="Arial" w:hAnsi="Arial" w:cs="Arial"/>
          <w:sz w:val="20"/>
          <w:szCs w:val="20"/>
        </w:rPr>
        <w:t>pour toute</w:t>
      </w:r>
      <w:r>
        <w:rPr>
          <w:rFonts w:ascii="Arial" w:hAnsi="Arial" w:cs="Arial"/>
          <w:sz w:val="20"/>
          <w:szCs w:val="20"/>
        </w:rPr>
        <w:t xml:space="preserve"> </w:t>
      </w:r>
      <w:r w:rsidR="0069731E">
        <w:rPr>
          <w:rFonts w:ascii="Arial" w:hAnsi="Arial" w:cs="Arial"/>
          <w:sz w:val="20"/>
          <w:szCs w:val="20"/>
        </w:rPr>
        <w:t>intervention</w:t>
      </w:r>
      <w:r>
        <w:rPr>
          <w:rFonts w:ascii="Arial" w:hAnsi="Arial" w:cs="Arial"/>
          <w:sz w:val="20"/>
          <w:szCs w:val="20"/>
        </w:rPr>
        <w:t xml:space="preserve"> dans un délai inférieur à 48 heures.</w:t>
      </w:r>
    </w:p>
    <w:p w14:paraId="659A2EE2" w14:textId="77777777" w:rsidR="00CC0E6C" w:rsidRPr="00CC0E6C" w:rsidRDefault="00CC0E6C" w:rsidP="00CC0E6C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87"/>
        <w:gridCol w:w="1305"/>
        <w:gridCol w:w="1270"/>
      </w:tblGrid>
      <w:tr w:rsidR="0069731E" w:rsidRPr="00AC5303" w14:paraId="4CF66285" w14:textId="17C31F83" w:rsidTr="000D3FDB">
        <w:trPr>
          <w:trHeight w:val="252"/>
        </w:trPr>
        <w:tc>
          <w:tcPr>
            <w:tcW w:w="6487" w:type="dxa"/>
          </w:tcPr>
          <w:p w14:paraId="5ECFF9D1" w14:textId="416B5299" w:rsidR="0069731E" w:rsidRPr="00AC5303" w:rsidRDefault="0069731E" w:rsidP="00281683">
            <w:pPr>
              <w:spacing w:after="60" w:line="240" w:lineRule="atLeast"/>
              <w:jc w:val="center"/>
              <w:rPr>
                <w:rStyle w:val="lev"/>
                <w:sz w:val="20"/>
                <w:szCs w:val="20"/>
              </w:rPr>
            </w:pPr>
            <w:r>
              <w:rPr>
                <w:rStyle w:val="lev"/>
                <w:sz w:val="20"/>
                <w:szCs w:val="20"/>
              </w:rPr>
              <w:t>ACTES EXTRAJUDICIAIRES</w:t>
            </w:r>
          </w:p>
        </w:tc>
        <w:tc>
          <w:tcPr>
            <w:tcW w:w="1305" w:type="dxa"/>
          </w:tcPr>
          <w:p w14:paraId="6BAFA914" w14:textId="77777777" w:rsidR="0069731E" w:rsidRPr="00AC5303" w:rsidRDefault="0069731E" w:rsidP="00281683">
            <w:pPr>
              <w:spacing w:after="60" w:line="240" w:lineRule="atLeast"/>
              <w:jc w:val="center"/>
              <w:rPr>
                <w:rStyle w:val="lev"/>
                <w:sz w:val="20"/>
                <w:szCs w:val="20"/>
              </w:rPr>
            </w:pPr>
            <w:r w:rsidRPr="00AC5303">
              <w:rPr>
                <w:rStyle w:val="lev"/>
                <w:sz w:val="20"/>
                <w:szCs w:val="20"/>
              </w:rPr>
              <w:t>COUTS HT</w:t>
            </w:r>
          </w:p>
        </w:tc>
        <w:tc>
          <w:tcPr>
            <w:tcW w:w="1270" w:type="dxa"/>
          </w:tcPr>
          <w:p w14:paraId="339C9572" w14:textId="045CB781" w:rsidR="0069731E" w:rsidRPr="00AC5303" w:rsidRDefault="0069731E" w:rsidP="00281683">
            <w:pPr>
              <w:spacing w:after="60" w:line="240" w:lineRule="atLeast"/>
              <w:jc w:val="center"/>
              <w:rPr>
                <w:rStyle w:val="lev"/>
                <w:sz w:val="20"/>
                <w:szCs w:val="20"/>
              </w:rPr>
            </w:pPr>
            <w:r>
              <w:rPr>
                <w:rStyle w:val="lev"/>
                <w:sz w:val="20"/>
                <w:szCs w:val="20"/>
              </w:rPr>
              <w:t>COUTS TTC</w:t>
            </w:r>
          </w:p>
        </w:tc>
      </w:tr>
      <w:tr w:rsidR="0069731E" w:rsidRPr="00AC5303" w14:paraId="5CE93690" w14:textId="191DFA60" w:rsidTr="000D3FDB">
        <w:trPr>
          <w:trHeight w:val="308"/>
        </w:trPr>
        <w:tc>
          <w:tcPr>
            <w:tcW w:w="6487" w:type="dxa"/>
            <w:vAlign w:val="center"/>
          </w:tcPr>
          <w:p w14:paraId="232E64B4" w14:textId="7C3C02CD" w:rsidR="0069731E" w:rsidRPr="00CC0E6C" w:rsidRDefault="0069731E" w:rsidP="0028168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CC0E6C">
              <w:rPr>
                <w:rStyle w:val="lev"/>
                <w:b w:val="0"/>
                <w:sz w:val="20"/>
                <w:szCs w:val="20"/>
              </w:rPr>
              <w:t>S</w:t>
            </w:r>
            <w:r w:rsidRPr="00CC0E6C">
              <w:rPr>
                <w:rStyle w:val="lev"/>
                <w:b w:val="0"/>
              </w:rPr>
              <w:t>ommation interpellative</w:t>
            </w:r>
          </w:p>
        </w:tc>
        <w:tc>
          <w:tcPr>
            <w:tcW w:w="1305" w:type="dxa"/>
            <w:vAlign w:val="center"/>
          </w:tcPr>
          <w:p w14:paraId="45DA25CE" w14:textId="7CE4DFAF" w:rsidR="0069731E" w:rsidRPr="00CC0E6C" w:rsidRDefault="0069731E" w:rsidP="0028168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CC0E6C">
              <w:rPr>
                <w:rStyle w:val="lev"/>
                <w:b w:val="0"/>
                <w:sz w:val="20"/>
                <w:szCs w:val="20"/>
              </w:rPr>
              <w:t>320,00</w:t>
            </w:r>
          </w:p>
        </w:tc>
        <w:tc>
          <w:tcPr>
            <w:tcW w:w="1270" w:type="dxa"/>
          </w:tcPr>
          <w:p w14:paraId="2E1B050D" w14:textId="735B7895" w:rsidR="0069731E" w:rsidRPr="00CC0E6C" w:rsidRDefault="000D3FDB" w:rsidP="0028168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395,36</w:t>
            </w:r>
          </w:p>
        </w:tc>
      </w:tr>
      <w:tr w:rsidR="0069731E" w:rsidRPr="00AC5303" w14:paraId="7C2716ED" w14:textId="5D9D84D5" w:rsidTr="000D3FDB">
        <w:trPr>
          <w:trHeight w:val="231"/>
        </w:trPr>
        <w:tc>
          <w:tcPr>
            <w:tcW w:w="6487" w:type="dxa"/>
            <w:vAlign w:val="center"/>
          </w:tcPr>
          <w:p w14:paraId="79DF0D46" w14:textId="20FB3748" w:rsidR="0069731E" w:rsidRPr="00CC0E6C" w:rsidRDefault="0069731E" w:rsidP="0028168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CC0E6C">
              <w:rPr>
                <w:rStyle w:val="lev"/>
                <w:b w:val="0"/>
                <w:sz w:val="20"/>
                <w:szCs w:val="20"/>
              </w:rPr>
              <w:t>C</w:t>
            </w:r>
            <w:r w:rsidRPr="00CC0E6C">
              <w:rPr>
                <w:rStyle w:val="lev"/>
                <w:b w:val="0"/>
              </w:rPr>
              <w:t>ongés (hors congé article L.145-9 et 10 du Code de commerce)</w:t>
            </w:r>
          </w:p>
        </w:tc>
        <w:tc>
          <w:tcPr>
            <w:tcW w:w="1305" w:type="dxa"/>
            <w:vAlign w:val="center"/>
          </w:tcPr>
          <w:p w14:paraId="7D0D23E6" w14:textId="210ED2AC" w:rsidR="0069731E" w:rsidRPr="00CC0E6C" w:rsidRDefault="0069731E" w:rsidP="0028168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CC0E6C">
              <w:rPr>
                <w:rStyle w:val="lev"/>
                <w:b w:val="0"/>
                <w:sz w:val="20"/>
                <w:szCs w:val="20"/>
              </w:rPr>
              <w:t>3</w:t>
            </w:r>
            <w:r w:rsidR="004A5C8C">
              <w:rPr>
                <w:rStyle w:val="lev"/>
                <w:b w:val="0"/>
                <w:sz w:val="20"/>
                <w:szCs w:val="20"/>
              </w:rPr>
              <w:t>95</w:t>
            </w:r>
            <w:r w:rsidRPr="00CC0E6C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  <w:tc>
          <w:tcPr>
            <w:tcW w:w="1270" w:type="dxa"/>
          </w:tcPr>
          <w:p w14:paraId="7EFDD9A9" w14:textId="181945E5" w:rsidR="0069731E" w:rsidRPr="00CC0E6C" w:rsidRDefault="00BA36F9" w:rsidP="00BA36F9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4</w:t>
            </w:r>
            <w:r w:rsidR="004A5C8C">
              <w:rPr>
                <w:rStyle w:val="lev"/>
                <w:b w:val="0"/>
                <w:sz w:val="20"/>
                <w:szCs w:val="20"/>
              </w:rPr>
              <w:t>85</w:t>
            </w:r>
            <w:r w:rsidR="000D3FDB">
              <w:rPr>
                <w:rStyle w:val="lev"/>
                <w:b w:val="0"/>
                <w:sz w:val="20"/>
                <w:szCs w:val="20"/>
              </w:rPr>
              <w:t>,36</w:t>
            </w:r>
          </w:p>
        </w:tc>
      </w:tr>
      <w:tr w:rsidR="00BA36F9" w:rsidRPr="00AC5303" w14:paraId="32A079C9" w14:textId="77777777" w:rsidTr="000D3FDB">
        <w:trPr>
          <w:trHeight w:val="231"/>
        </w:trPr>
        <w:tc>
          <w:tcPr>
            <w:tcW w:w="6487" w:type="dxa"/>
            <w:vAlign w:val="center"/>
          </w:tcPr>
          <w:p w14:paraId="2DFFCCCB" w14:textId="77777777" w:rsidR="00BA36F9" w:rsidRDefault="00BA36F9" w:rsidP="00900F9C">
            <w:pPr>
              <w:spacing w:line="240" w:lineRule="atLeast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Sommation de payer (</w:t>
            </w:r>
            <w:r w:rsidR="00900F9C">
              <w:rPr>
                <w:rStyle w:val="lev"/>
                <w:b w:val="0"/>
                <w:sz w:val="20"/>
                <w:szCs w:val="20"/>
              </w:rPr>
              <w:t>dette &lt;1000€)</w:t>
            </w:r>
          </w:p>
          <w:p w14:paraId="7BDEC48F" w14:textId="4FFDC601" w:rsidR="00900F9C" w:rsidRDefault="00900F9C" w:rsidP="00900F9C">
            <w:pPr>
              <w:spacing w:line="240" w:lineRule="atLeast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Sommation de payer (dette de 1000€ à 2000€)</w:t>
            </w:r>
          </w:p>
          <w:p w14:paraId="667E508D" w14:textId="33BC0AF9" w:rsidR="00900F9C" w:rsidRPr="00CC0E6C" w:rsidRDefault="00900F9C" w:rsidP="0028168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Sommation de payer (dette &gt;2000€)</w:t>
            </w:r>
          </w:p>
        </w:tc>
        <w:tc>
          <w:tcPr>
            <w:tcW w:w="1305" w:type="dxa"/>
            <w:vAlign w:val="center"/>
          </w:tcPr>
          <w:p w14:paraId="3F408DD7" w14:textId="0778475B" w:rsidR="00BA36F9" w:rsidRDefault="00900F9C" w:rsidP="00900F9C">
            <w:pPr>
              <w:spacing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100,00</w:t>
            </w:r>
          </w:p>
          <w:p w14:paraId="3192E3EE" w14:textId="7A5DC342" w:rsidR="00900F9C" w:rsidRDefault="00900F9C" w:rsidP="00900F9C">
            <w:pPr>
              <w:spacing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150,00</w:t>
            </w:r>
          </w:p>
          <w:p w14:paraId="16E5151B" w14:textId="42B35984" w:rsidR="00900F9C" w:rsidRPr="00CC0E6C" w:rsidRDefault="00900F9C" w:rsidP="00900F9C">
            <w:pPr>
              <w:spacing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200,00</w:t>
            </w:r>
          </w:p>
        </w:tc>
        <w:tc>
          <w:tcPr>
            <w:tcW w:w="1270" w:type="dxa"/>
          </w:tcPr>
          <w:p w14:paraId="68476125" w14:textId="697B5ACE" w:rsidR="00BA36F9" w:rsidRDefault="00900F9C" w:rsidP="00900F9C">
            <w:pPr>
              <w:spacing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131,36</w:t>
            </w:r>
          </w:p>
          <w:p w14:paraId="2154C8D3" w14:textId="4E420838" w:rsidR="00900F9C" w:rsidRDefault="00900F9C" w:rsidP="00900F9C">
            <w:pPr>
              <w:spacing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191,36</w:t>
            </w:r>
          </w:p>
          <w:p w14:paraId="6D676527" w14:textId="34535241" w:rsidR="00900F9C" w:rsidRDefault="00900F9C" w:rsidP="00900F9C">
            <w:pPr>
              <w:spacing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251,36</w:t>
            </w:r>
          </w:p>
        </w:tc>
      </w:tr>
      <w:tr w:rsidR="0069731E" w:rsidRPr="00AC5303" w14:paraId="56DC5EAC" w14:textId="6B941304" w:rsidTr="000D3FDB">
        <w:tc>
          <w:tcPr>
            <w:tcW w:w="6487" w:type="dxa"/>
            <w:vAlign w:val="center"/>
          </w:tcPr>
          <w:p w14:paraId="02A7835A" w14:textId="0AD4500D" w:rsidR="0069731E" w:rsidRPr="00CC0E6C" w:rsidRDefault="0069731E" w:rsidP="0028168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CC0E6C">
              <w:rPr>
                <w:rStyle w:val="lev"/>
                <w:b w:val="0"/>
                <w:sz w:val="20"/>
                <w:szCs w:val="20"/>
              </w:rPr>
              <w:t>S</w:t>
            </w:r>
            <w:r w:rsidRPr="00CC0E6C">
              <w:rPr>
                <w:rStyle w:val="lev"/>
                <w:b w:val="0"/>
              </w:rPr>
              <w:t>ignifications diverses (non prévues par le tarif)</w:t>
            </w:r>
          </w:p>
        </w:tc>
        <w:tc>
          <w:tcPr>
            <w:tcW w:w="1305" w:type="dxa"/>
            <w:vAlign w:val="center"/>
          </w:tcPr>
          <w:p w14:paraId="6F66D3E8" w14:textId="07DE9C4C" w:rsidR="0069731E" w:rsidRPr="00CC0E6C" w:rsidRDefault="0069731E" w:rsidP="0028168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CC0E6C">
              <w:rPr>
                <w:rStyle w:val="lev"/>
                <w:b w:val="0"/>
                <w:sz w:val="20"/>
                <w:szCs w:val="20"/>
              </w:rPr>
              <w:t>200,00</w:t>
            </w:r>
          </w:p>
        </w:tc>
        <w:tc>
          <w:tcPr>
            <w:tcW w:w="1270" w:type="dxa"/>
          </w:tcPr>
          <w:p w14:paraId="2AAA6C94" w14:textId="1B8880D7" w:rsidR="0069731E" w:rsidRPr="00CC0E6C" w:rsidRDefault="000D3FDB" w:rsidP="0028168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251,36</w:t>
            </w:r>
          </w:p>
        </w:tc>
      </w:tr>
      <w:tr w:rsidR="0069731E" w:rsidRPr="00AC5303" w14:paraId="1C6608AD" w14:textId="6714216F" w:rsidTr="000D3FDB">
        <w:tc>
          <w:tcPr>
            <w:tcW w:w="6487" w:type="dxa"/>
            <w:vAlign w:val="center"/>
          </w:tcPr>
          <w:p w14:paraId="5F28D2E9" w14:textId="666ADC33" w:rsidR="0069731E" w:rsidRPr="00CC0E6C" w:rsidRDefault="0069731E" w:rsidP="0028168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CC0E6C">
              <w:rPr>
                <w:rStyle w:val="lev"/>
                <w:b w:val="0"/>
                <w:sz w:val="20"/>
                <w:szCs w:val="20"/>
              </w:rPr>
              <w:t>C</w:t>
            </w:r>
            <w:r w:rsidRPr="00CC0E6C">
              <w:rPr>
                <w:rStyle w:val="lev"/>
                <w:b w:val="0"/>
              </w:rPr>
              <w:t>onstats</w:t>
            </w:r>
            <w:r w:rsidR="00311084">
              <w:rPr>
                <w:rStyle w:val="lev"/>
                <w:b w:val="0"/>
              </w:rPr>
              <w:t xml:space="preserve"> </w:t>
            </w:r>
            <w:r>
              <w:rPr>
                <w:rStyle w:val="lev"/>
                <w:b w:val="0"/>
              </w:rPr>
              <w:t>*</w:t>
            </w:r>
          </w:p>
        </w:tc>
        <w:tc>
          <w:tcPr>
            <w:tcW w:w="1305" w:type="dxa"/>
            <w:vAlign w:val="center"/>
          </w:tcPr>
          <w:p w14:paraId="3C301A19" w14:textId="686A3324" w:rsidR="0069731E" w:rsidRPr="00CC0E6C" w:rsidRDefault="00FF538F" w:rsidP="0028168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S</w:t>
            </w:r>
            <w:r>
              <w:rPr>
                <w:rStyle w:val="lev"/>
                <w:sz w:val="20"/>
                <w:szCs w:val="20"/>
              </w:rPr>
              <w:t xml:space="preserve">ur devis </w:t>
            </w:r>
          </w:p>
        </w:tc>
        <w:tc>
          <w:tcPr>
            <w:tcW w:w="1270" w:type="dxa"/>
          </w:tcPr>
          <w:p w14:paraId="0A539DF5" w14:textId="1050C5F8" w:rsidR="0069731E" w:rsidRPr="00CC0E6C" w:rsidRDefault="0069731E" w:rsidP="0028168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</w:p>
        </w:tc>
      </w:tr>
      <w:tr w:rsidR="0069731E" w:rsidRPr="00AC5303" w14:paraId="4A466C20" w14:textId="44DF726E" w:rsidTr="000D3FDB">
        <w:tc>
          <w:tcPr>
            <w:tcW w:w="6487" w:type="dxa"/>
            <w:vAlign w:val="center"/>
          </w:tcPr>
          <w:p w14:paraId="1167954A" w14:textId="6E1887F5" w:rsidR="0069731E" w:rsidRPr="00CC0E6C" w:rsidRDefault="0069731E" w:rsidP="0028168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CC0E6C">
              <w:rPr>
                <w:rStyle w:val="lev"/>
                <w:b w:val="0"/>
                <w:sz w:val="20"/>
                <w:szCs w:val="20"/>
              </w:rPr>
              <w:t>S</w:t>
            </w:r>
            <w:r w:rsidRPr="00CC0E6C">
              <w:rPr>
                <w:rStyle w:val="lev"/>
                <w:b w:val="0"/>
              </w:rPr>
              <w:t>ignification de purge du droit de préemption</w:t>
            </w:r>
          </w:p>
        </w:tc>
        <w:tc>
          <w:tcPr>
            <w:tcW w:w="1305" w:type="dxa"/>
            <w:vAlign w:val="center"/>
          </w:tcPr>
          <w:p w14:paraId="4DD6F373" w14:textId="6B2162A1" w:rsidR="0069731E" w:rsidRPr="00CC0E6C" w:rsidRDefault="0069731E" w:rsidP="0028168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CC0E6C">
              <w:rPr>
                <w:rStyle w:val="lev"/>
                <w:b w:val="0"/>
                <w:sz w:val="20"/>
                <w:szCs w:val="20"/>
              </w:rPr>
              <w:t>3</w:t>
            </w:r>
            <w:r w:rsidR="00DD7875">
              <w:rPr>
                <w:rStyle w:val="lev"/>
                <w:b w:val="0"/>
                <w:sz w:val="20"/>
                <w:szCs w:val="20"/>
              </w:rPr>
              <w:t>20</w:t>
            </w:r>
            <w:r w:rsidRPr="00CC0E6C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  <w:tc>
          <w:tcPr>
            <w:tcW w:w="1270" w:type="dxa"/>
          </w:tcPr>
          <w:p w14:paraId="4B35C92A" w14:textId="779F522E" w:rsidR="0069731E" w:rsidRPr="00CC0E6C" w:rsidRDefault="00DD7875" w:rsidP="0028168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39</w:t>
            </w:r>
            <w:r w:rsidR="00C42456">
              <w:rPr>
                <w:rStyle w:val="lev"/>
                <w:b w:val="0"/>
                <w:sz w:val="20"/>
                <w:szCs w:val="20"/>
              </w:rPr>
              <w:t>5,36</w:t>
            </w:r>
          </w:p>
        </w:tc>
      </w:tr>
    </w:tbl>
    <w:p w14:paraId="465C9840" w14:textId="0FBE1F78" w:rsidR="00CC0E6C" w:rsidRDefault="00CC0E6C" w:rsidP="00CC0E6C">
      <w:pPr>
        <w:spacing w:after="0" w:line="28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CC0E6C">
        <w:rPr>
          <w:rFonts w:ascii="Arial" w:hAnsi="Arial" w:cs="Arial"/>
          <w:i/>
          <w:iCs/>
          <w:sz w:val="18"/>
          <w:szCs w:val="18"/>
        </w:rPr>
        <w:t xml:space="preserve">* </w:t>
      </w:r>
      <w:r w:rsidR="00FF538F">
        <w:rPr>
          <w:rFonts w:ascii="Arial" w:hAnsi="Arial" w:cs="Arial"/>
          <w:i/>
          <w:iCs/>
          <w:sz w:val="18"/>
          <w:szCs w:val="18"/>
        </w:rPr>
        <w:t xml:space="preserve">Un devis sera adressé sur demande </w:t>
      </w:r>
      <w:hyperlink r:id="rId8" w:history="1">
        <w:r w:rsidR="00FF538F" w:rsidRPr="00CC1A6D">
          <w:rPr>
            <w:rStyle w:val="Lienhypertexte"/>
            <w:rFonts w:ascii="Arial" w:hAnsi="Arial" w:cs="Arial"/>
            <w:i/>
            <w:iCs/>
            <w:sz w:val="18"/>
            <w:szCs w:val="18"/>
          </w:rPr>
          <w:t>https://constat.certea-commissairedejustice.fr/</w:t>
        </w:r>
      </w:hyperlink>
    </w:p>
    <w:p w14:paraId="4AE59DA5" w14:textId="77777777" w:rsidR="00CC0E6C" w:rsidRPr="00CC0E6C" w:rsidRDefault="00CC0E6C" w:rsidP="00CC0E6C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45"/>
        <w:gridCol w:w="1349"/>
        <w:gridCol w:w="1268"/>
      </w:tblGrid>
      <w:tr w:rsidR="0069731E" w:rsidRPr="00AC5303" w14:paraId="6CA7ECD1" w14:textId="3B3DBD18" w:rsidTr="00424E21">
        <w:trPr>
          <w:trHeight w:val="252"/>
        </w:trPr>
        <w:tc>
          <w:tcPr>
            <w:tcW w:w="6445" w:type="dxa"/>
          </w:tcPr>
          <w:p w14:paraId="38C528CD" w14:textId="77777777" w:rsidR="0069731E" w:rsidRPr="00AC5303" w:rsidRDefault="0069731E" w:rsidP="001700A3">
            <w:pPr>
              <w:spacing w:after="60" w:line="240" w:lineRule="atLeast"/>
              <w:jc w:val="center"/>
              <w:rPr>
                <w:rStyle w:val="lev"/>
                <w:sz w:val="20"/>
                <w:szCs w:val="20"/>
              </w:rPr>
            </w:pPr>
            <w:r w:rsidRPr="00AC5303">
              <w:rPr>
                <w:rStyle w:val="lev"/>
                <w:sz w:val="20"/>
                <w:szCs w:val="20"/>
              </w:rPr>
              <w:t>PRESTATIONS ET DEMARCHES</w:t>
            </w:r>
          </w:p>
        </w:tc>
        <w:tc>
          <w:tcPr>
            <w:tcW w:w="1349" w:type="dxa"/>
          </w:tcPr>
          <w:p w14:paraId="7EBB25D9" w14:textId="77777777" w:rsidR="0069731E" w:rsidRPr="00AC5303" w:rsidRDefault="0069731E" w:rsidP="001700A3">
            <w:pPr>
              <w:spacing w:after="60" w:line="240" w:lineRule="atLeast"/>
              <w:jc w:val="center"/>
              <w:rPr>
                <w:rStyle w:val="lev"/>
                <w:sz w:val="20"/>
                <w:szCs w:val="20"/>
              </w:rPr>
            </w:pPr>
            <w:r w:rsidRPr="00AC5303">
              <w:rPr>
                <w:rStyle w:val="lev"/>
                <w:sz w:val="20"/>
                <w:szCs w:val="20"/>
              </w:rPr>
              <w:t>COUTS HT</w:t>
            </w:r>
          </w:p>
        </w:tc>
        <w:tc>
          <w:tcPr>
            <w:tcW w:w="1268" w:type="dxa"/>
          </w:tcPr>
          <w:p w14:paraId="4A8C26A6" w14:textId="2163004E" w:rsidR="0069731E" w:rsidRPr="00AC5303" w:rsidRDefault="0069731E" w:rsidP="001700A3">
            <w:pPr>
              <w:spacing w:after="60" w:line="240" w:lineRule="atLeast"/>
              <w:jc w:val="center"/>
              <w:rPr>
                <w:rStyle w:val="lev"/>
                <w:sz w:val="20"/>
                <w:szCs w:val="20"/>
              </w:rPr>
            </w:pPr>
            <w:r>
              <w:rPr>
                <w:rStyle w:val="lev"/>
                <w:sz w:val="20"/>
                <w:szCs w:val="20"/>
              </w:rPr>
              <w:t>COUTS TTC</w:t>
            </w:r>
          </w:p>
        </w:tc>
      </w:tr>
      <w:tr w:rsidR="0069731E" w:rsidRPr="00AC5303" w14:paraId="4D6F68B5" w14:textId="7DB37B7A" w:rsidTr="00424E21">
        <w:trPr>
          <w:trHeight w:val="308"/>
        </w:trPr>
        <w:tc>
          <w:tcPr>
            <w:tcW w:w="6445" w:type="dxa"/>
            <w:vAlign w:val="center"/>
          </w:tcPr>
          <w:p w14:paraId="0134F8DA" w14:textId="5EDE2FC4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Demande de Certificat de non</w:t>
            </w:r>
            <w:r>
              <w:rPr>
                <w:rStyle w:val="lev"/>
                <w:b w:val="0"/>
                <w:sz w:val="20"/>
                <w:szCs w:val="20"/>
              </w:rPr>
              <w:t>-</w:t>
            </w:r>
            <w:r w:rsidRPr="001700A3">
              <w:rPr>
                <w:rStyle w:val="lev"/>
                <w:b w:val="0"/>
                <w:sz w:val="20"/>
                <w:szCs w:val="20"/>
              </w:rPr>
              <w:t>appel ou de non</w:t>
            </w:r>
            <w:r>
              <w:rPr>
                <w:rStyle w:val="lev"/>
                <w:b w:val="0"/>
                <w:sz w:val="20"/>
                <w:szCs w:val="20"/>
              </w:rPr>
              <w:t>-</w:t>
            </w:r>
            <w:r w:rsidRPr="001700A3">
              <w:rPr>
                <w:rStyle w:val="lev"/>
                <w:b w:val="0"/>
                <w:sz w:val="20"/>
                <w:szCs w:val="20"/>
              </w:rPr>
              <w:t xml:space="preserve">opposition </w:t>
            </w:r>
          </w:p>
        </w:tc>
        <w:tc>
          <w:tcPr>
            <w:tcW w:w="1349" w:type="dxa"/>
            <w:vAlign w:val="center"/>
          </w:tcPr>
          <w:p w14:paraId="683B7E76" w14:textId="6097A2DE" w:rsidR="0069731E" w:rsidRPr="001700A3" w:rsidRDefault="0069731E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2</w:t>
            </w:r>
            <w:r w:rsidR="00900F9C">
              <w:rPr>
                <w:rStyle w:val="lev"/>
                <w:b w:val="0"/>
                <w:sz w:val="20"/>
                <w:szCs w:val="20"/>
              </w:rPr>
              <w:t>5</w:t>
            </w:r>
            <w:r w:rsidRPr="001700A3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14:paraId="6994FAF8" w14:textId="396C10CF" w:rsidR="0069731E" w:rsidRPr="00B6094D" w:rsidRDefault="00900F9C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30</w:t>
            </w:r>
            <w:r w:rsidR="00B6094D" w:rsidRPr="00B6094D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</w:tr>
      <w:tr w:rsidR="0069731E" w:rsidRPr="00AC5303" w14:paraId="65EC3A34" w14:textId="18E59470" w:rsidTr="00424E21">
        <w:tc>
          <w:tcPr>
            <w:tcW w:w="6445" w:type="dxa"/>
            <w:vAlign w:val="center"/>
          </w:tcPr>
          <w:p w14:paraId="3E9E3F88" w14:textId="77777777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 xml:space="preserve">Prise de date d’audience </w:t>
            </w:r>
          </w:p>
        </w:tc>
        <w:tc>
          <w:tcPr>
            <w:tcW w:w="1349" w:type="dxa"/>
            <w:vAlign w:val="center"/>
          </w:tcPr>
          <w:p w14:paraId="57F82690" w14:textId="6468A45F" w:rsidR="0069731E" w:rsidRPr="001700A3" w:rsidRDefault="0069731E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20</w:t>
            </w:r>
            <w:r w:rsidRPr="001700A3">
              <w:rPr>
                <w:rStyle w:val="lev"/>
                <w:b w:val="0"/>
                <w:sz w:val="20"/>
                <w:szCs w:val="20"/>
              </w:rPr>
              <w:t>,</w:t>
            </w:r>
            <w:r w:rsidR="004A5C8C">
              <w:rPr>
                <w:rStyle w:val="lev"/>
                <w:b w:val="0"/>
                <w:sz w:val="20"/>
                <w:szCs w:val="20"/>
              </w:rPr>
              <w:t>83</w:t>
            </w:r>
          </w:p>
        </w:tc>
        <w:tc>
          <w:tcPr>
            <w:tcW w:w="1268" w:type="dxa"/>
          </w:tcPr>
          <w:p w14:paraId="3A7C5046" w14:textId="6CEACAEF" w:rsidR="0069731E" w:rsidRPr="00B6094D" w:rsidRDefault="00B6094D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B6094D">
              <w:rPr>
                <w:rStyle w:val="lev"/>
                <w:b w:val="0"/>
                <w:sz w:val="20"/>
                <w:szCs w:val="20"/>
              </w:rPr>
              <w:t>2</w:t>
            </w:r>
            <w:r w:rsidR="004A5C8C">
              <w:rPr>
                <w:rStyle w:val="lev"/>
                <w:b w:val="0"/>
                <w:sz w:val="20"/>
                <w:szCs w:val="20"/>
              </w:rPr>
              <w:t>5</w:t>
            </w:r>
            <w:r w:rsidRPr="00B6094D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</w:tr>
      <w:tr w:rsidR="0069731E" w:rsidRPr="00AC5303" w14:paraId="752DBB16" w14:textId="4E206120" w:rsidTr="00424E21">
        <w:tc>
          <w:tcPr>
            <w:tcW w:w="6445" w:type="dxa"/>
            <w:vAlign w:val="center"/>
          </w:tcPr>
          <w:p w14:paraId="3281B934" w14:textId="77777777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 xml:space="preserve">Placement à l’audience </w:t>
            </w:r>
          </w:p>
        </w:tc>
        <w:tc>
          <w:tcPr>
            <w:tcW w:w="1349" w:type="dxa"/>
            <w:vAlign w:val="center"/>
          </w:tcPr>
          <w:p w14:paraId="35AAD157" w14:textId="58E1CE23" w:rsidR="0069731E" w:rsidRPr="001700A3" w:rsidRDefault="0069731E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4</w:t>
            </w:r>
            <w:r w:rsidR="00DD7875">
              <w:rPr>
                <w:rStyle w:val="lev"/>
                <w:b w:val="0"/>
                <w:sz w:val="20"/>
                <w:szCs w:val="20"/>
              </w:rPr>
              <w:t>0,00</w:t>
            </w:r>
          </w:p>
        </w:tc>
        <w:tc>
          <w:tcPr>
            <w:tcW w:w="1268" w:type="dxa"/>
          </w:tcPr>
          <w:p w14:paraId="4B3ADE58" w14:textId="55DEA08A" w:rsidR="0069731E" w:rsidRPr="00B6094D" w:rsidRDefault="00DD7875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48</w:t>
            </w:r>
            <w:r w:rsidR="00B6094D" w:rsidRPr="00B6094D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</w:tr>
      <w:tr w:rsidR="0069731E" w:rsidRPr="00AC5303" w14:paraId="64EEF3FB" w14:textId="2C70A804" w:rsidTr="00424E21">
        <w:tc>
          <w:tcPr>
            <w:tcW w:w="6445" w:type="dxa"/>
            <w:vAlign w:val="center"/>
          </w:tcPr>
          <w:p w14:paraId="766F3BF1" w14:textId="77777777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 xml:space="preserve">Représentation audience de saisie des rémunérations </w:t>
            </w:r>
          </w:p>
        </w:tc>
        <w:tc>
          <w:tcPr>
            <w:tcW w:w="1349" w:type="dxa"/>
            <w:vAlign w:val="center"/>
          </w:tcPr>
          <w:p w14:paraId="245B7D9F" w14:textId="77777777" w:rsidR="0069731E" w:rsidRPr="001700A3" w:rsidRDefault="0069731E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180,00</w:t>
            </w:r>
          </w:p>
        </w:tc>
        <w:tc>
          <w:tcPr>
            <w:tcW w:w="1268" w:type="dxa"/>
          </w:tcPr>
          <w:p w14:paraId="78EA7751" w14:textId="23771332" w:rsidR="0069731E" w:rsidRPr="00B6094D" w:rsidRDefault="00B6094D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216,00</w:t>
            </w:r>
          </w:p>
        </w:tc>
      </w:tr>
      <w:tr w:rsidR="0069731E" w:rsidRPr="00AC5303" w14:paraId="7DB63EED" w14:textId="55F064C5" w:rsidTr="00424E21">
        <w:tc>
          <w:tcPr>
            <w:tcW w:w="6445" w:type="dxa"/>
            <w:vAlign w:val="center"/>
          </w:tcPr>
          <w:p w14:paraId="3E12DF5E" w14:textId="77777777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 xml:space="preserve">Représentation audience Juge de l’exécution </w:t>
            </w:r>
          </w:p>
        </w:tc>
        <w:tc>
          <w:tcPr>
            <w:tcW w:w="1349" w:type="dxa"/>
            <w:vAlign w:val="center"/>
          </w:tcPr>
          <w:p w14:paraId="750FE44C" w14:textId="77777777" w:rsidR="0069731E" w:rsidRPr="001700A3" w:rsidRDefault="0069731E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150,00</w:t>
            </w:r>
          </w:p>
        </w:tc>
        <w:tc>
          <w:tcPr>
            <w:tcW w:w="1268" w:type="dxa"/>
          </w:tcPr>
          <w:p w14:paraId="0256CDA2" w14:textId="480394B0" w:rsidR="0069731E" w:rsidRPr="00B6094D" w:rsidRDefault="00B6094D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180,00</w:t>
            </w:r>
          </w:p>
        </w:tc>
      </w:tr>
      <w:tr w:rsidR="0069731E" w:rsidRPr="00AC5303" w14:paraId="7CA84993" w14:textId="571B8130" w:rsidTr="00424E21">
        <w:tc>
          <w:tcPr>
            <w:tcW w:w="6445" w:type="dxa"/>
            <w:vAlign w:val="center"/>
          </w:tcPr>
          <w:p w14:paraId="53990C19" w14:textId="77777777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 xml:space="preserve">Consultation juridique </w:t>
            </w:r>
          </w:p>
        </w:tc>
        <w:tc>
          <w:tcPr>
            <w:tcW w:w="1349" w:type="dxa"/>
            <w:vAlign w:val="center"/>
          </w:tcPr>
          <w:p w14:paraId="3171FA9E" w14:textId="221D9DB7" w:rsidR="0069731E" w:rsidRPr="001700A3" w:rsidRDefault="00900F9C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18</w:t>
            </w:r>
            <w:r w:rsidR="0069731E" w:rsidRPr="001700A3">
              <w:rPr>
                <w:rStyle w:val="lev"/>
                <w:b w:val="0"/>
                <w:sz w:val="20"/>
                <w:szCs w:val="20"/>
              </w:rPr>
              <w:t>0,00/Heure</w:t>
            </w:r>
          </w:p>
        </w:tc>
        <w:tc>
          <w:tcPr>
            <w:tcW w:w="1268" w:type="dxa"/>
          </w:tcPr>
          <w:p w14:paraId="5537F743" w14:textId="7295F7BD" w:rsidR="0069731E" w:rsidRPr="00B6094D" w:rsidRDefault="00B6094D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</w:t>
            </w:r>
            <w:r w:rsidR="00900F9C">
              <w:rPr>
                <w:rStyle w:val="lev"/>
                <w:b w:val="0"/>
                <w:sz w:val="20"/>
                <w:szCs w:val="20"/>
              </w:rPr>
              <w:t>16</w:t>
            </w:r>
            <w:r>
              <w:rPr>
                <w:rStyle w:val="lev"/>
                <w:b w:val="0"/>
                <w:sz w:val="20"/>
                <w:szCs w:val="20"/>
              </w:rPr>
              <w:t>,00/H</w:t>
            </w:r>
          </w:p>
        </w:tc>
      </w:tr>
      <w:tr w:rsidR="0069731E" w:rsidRPr="00AC5303" w14:paraId="032B074A" w14:textId="5F15BA9A" w:rsidTr="00424E21">
        <w:tc>
          <w:tcPr>
            <w:tcW w:w="6445" w:type="dxa"/>
            <w:vAlign w:val="center"/>
          </w:tcPr>
          <w:p w14:paraId="5F1B85DC" w14:textId="77777777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Honoraires rédaction assignation Prud’hommes</w:t>
            </w:r>
          </w:p>
        </w:tc>
        <w:tc>
          <w:tcPr>
            <w:tcW w:w="1349" w:type="dxa"/>
            <w:vAlign w:val="center"/>
          </w:tcPr>
          <w:p w14:paraId="3DEB33B2" w14:textId="23CAEA1B" w:rsidR="0069731E" w:rsidRPr="001700A3" w:rsidRDefault="0069731E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20</w:t>
            </w:r>
            <w:r w:rsidRPr="001700A3">
              <w:rPr>
                <w:rStyle w:val="lev"/>
                <w:b w:val="0"/>
                <w:sz w:val="20"/>
                <w:szCs w:val="20"/>
              </w:rPr>
              <w:t>0,00</w:t>
            </w:r>
          </w:p>
        </w:tc>
        <w:tc>
          <w:tcPr>
            <w:tcW w:w="1268" w:type="dxa"/>
          </w:tcPr>
          <w:p w14:paraId="5FA48A0C" w14:textId="10DF4122" w:rsidR="0069731E" w:rsidRDefault="00B6094D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240,00</w:t>
            </w:r>
          </w:p>
        </w:tc>
      </w:tr>
      <w:tr w:rsidR="0069731E" w:rsidRPr="00AC5303" w14:paraId="24265D4C" w14:textId="4650E1F9" w:rsidTr="00424E21">
        <w:tc>
          <w:tcPr>
            <w:tcW w:w="6445" w:type="dxa"/>
            <w:vAlign w:val="center"/>
          </w:tcPr>
          <w:p w14:paraId="24C34A45" w14:textId="7E7F105B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 xml:space="preserve">Honoraires rédaction assignation </w:t>
            </w:r>
            <w:r>
              <w:rPr>
                <w:rStyle w:val="lev"/>
                <w:b w:val="0"/>
                <w:sz w:val="20"/>
                <w:szCs w:val="20"/>
              </w:rPr>
              <w:t>Tribunal Judiciaire</w:t>
            </w:r>
            <w:r w:rsidRPr="001700A3">
              <w:rPr>
                <w:rStyle w:val="lev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vAlign w:val="center"/>
          </w:tcPr>
          <w:p w14:paraId="73050F3C" w14:textId="4E7F1871" w:rsidR="0069731E" w:rsidRPr="001700A3" w:rsidRDefault="00DD7875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30</w:t>
            </w:r>
            <w:r w:rsidR="0069731E" w:rsidRPr="001700A3">
              <w:rPr>
                <w:rStyle w:val="lev"/>
                <w:b w:val="0"/>
                <w:sz w:val="20"/>
                <w:szCs w:val="20"/>
              </w:rPr>
              <w:t>0,00</w:t>
            </w:r>
          </w:p>
        </w:tc>
        <w:tc>
          <w:tcPr>
            <w:tcW w:w="1268" w:type="dxa"/>
          </w:tcPr>
          <w:p w14:paraId="27F9F1B6" w14:textId="3DCE0C89" w:rsidR="0069731E" w:rsidRPr="001700A3" w:rsidRDefault="00B6094D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3</w:t>
            </w:r>
            <w:r w:rsidR="00DD7875">
              <w:rPr>
                <w:rStyle w:val="lev"/>
                <w:b w:val="0"/>
                <w:sz w:val="20"/>
                <w:szCs w:val="20"/>
              </w:rPr>
              <w:t>6</w:t>
            </w:r>
            <w:r>
              <w:rPr>
                <w:rStyle w:val="lev"/>
                <w:b w:val="0"/>
                <w:sz w:val="20"/>
                <w:szCs w:val="20"/>
              </w:rPr>
              <w:t>0,00</w:t>
            </w:r>
          </w:p>
        </w:tc>
      </w:tr>
      <w:tr w:rsidR="0069731E" w:rsidRPr="00AC5303" w14:paraId="52CF0B6C" w14:textId="3ABAAE4E" w:rsidTr="00424E21">
        <w:tc>
          <w:tcPr>
            <w:tcW w:w="6445" w:type="dxa"/>
            <w:vAlign w:val="center"/>
          </w:tcPr>
          <w:p w14:paraId="6ED5E0AF" w14:textId="0632820C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 xml:space="preserve">Transmission et </w:t>
            </w:r>
            <w:r w:rsidR="00473957">
              <w:rPr>
                <w:rStyle w:val="lev"/>
                <w:b w:val="0"/>
                <w:sz w:val="20"/>
                <w:szCs w:val="20"/>
              </w:rPr>
              <w:t>suivi</w:t>
            </w:r>
            <w:r w:rsidRPr="001700A3">
              <w:rPr>
                <w:rStyle w:val="lev"/>
                <w:b w:val="0"/>
                <w:sz w:val="20"/>
                <w:szCs w:val="20"/>
              </w:rPr>
              <w:t xml:space="preserve"> d’une prestation hors compétence </w:t>
            </w:r>
          </w:p>
        </w:tc>
        <w:tc>
          <w:tcPr>
            <w:tcW w:w="1349" w:type="dxa"/>
            <w:vAlign w:val="center"/>
          </w:tcPr>
          <w:p w14:paraId="1E197CA2" w14:textId="3B8B2649" w:rsidR="0069731E" w:rsidRPr="001700A3" w:rsidRDefault="004A5C8C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50</w:t>
            </w:r>
            <w:r w:rsidR="0069731E" w:rsidRPr="001700A3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14:paraId="26BDC25A" w14:textId="06038EF3" w:rsidR="0069731E" w:rsidRPr="001700A3" w:rsidRDefault="004A5C8C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60</w:t>
            </w:r>
            <w:r w:rsidR="00B6094D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</w:tr>
      <w:tr w:rsidR="0069731E" w:rsidRPr="00F741E5" w14:paraId="38AB491B" w14:textId="58D5AC45" w:rsidTr="00424E21">
        <w:tc>
          <w:tcPr>
            <w:tcW w:w="6445" w:type="dxa"/>
            <w:vAlign w:val="center"/>
          </w:tcPr>
          <w:p w14:paraId="6BF60D64" w14:textId="0E97E68B" w:rsidR="0069731E" w:rsidRPr="001700A3" w:rsidRDefault="00900F9C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Gestion de la f</w:t>
            </w:r>
            <w:r w:rsidR="0069731E" w:rsidRPr="001700A3">
              <w:rPr>
                <w:rStyle w:val="lev"/>
                <w:b w:val="0"/>
                <w:sz w:val="20"/>
                <w:szCs w:val="20"/>
              </w:rPr>
              <w:t>acturation à un tiers</w:t>
            </w:r>
          </w:p>
        </w:tc>
        <w:tc>
          <w:tcPr>
            <w:tcW w:w="1349" w:type="dxa"/>
            <w:vAlign w:val="center"/>
          </w:tcPr>
          <w:p w14:paraId="596CA964" w14:textId="2B0C5FE4" w:rsidR="0069731E" w:rsidRPr="001700A3" w:rsidRDefault="0069731E" w:rsidP="00CA01EF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1</w:t>
            </w:r>
            <w:r w:rsidR="004A5C8C">
              <w:rPr>
                <w:rStyle w:val="lev"/>
                <w:b w:val="0"/>
                <w:sz w:val="20"/>
                <w:szCs w:val="20"/>
              </w:rPr>
              <w:t>6</w:t>
            </w:r>
            <w:r w:rsidRPr="001700A3">
              <w:rPr>
                <w:rStyle w:val="lev"/>
                <w:b w:val="0"/>
                <w:sz w:val="20"/>
                <w:szCs w:val="20"/>
              </w:rPr>
              <w:t>,</w:t>
            </w:r>
            <w:r w:rsidR="004A5C8C">
              <w:rPr>
                <w:rStyle w:val="lev"/>
                <w:b w:val="0"/>
                <w:sz w:val="20"/>
                <w:szCs w:val="20"/>
              </w:rPr>
              <w:t>67</w:t>
            </w:r>
          </w:p>
        </w:tc>
        <w:tc>
          <w:tcPr>
            <w:tcW w:w="1268" w:type="dxa"/>
          </w:tcPr>
          <w:p w14:paraId="183EA80A" w14:textId="56A02D43" w:rsidR="0069731E" w:rsidRPr="001700A3" w:rsidRDefault="004A5C8C" w:rsidP="00CA01EF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20</w:t>
            </w:r>
            <w:r w:rsidR="00B6094D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</w:tr>
      <w:tr w:rsidR="0069731E" w:rsidRPr="00F741E5" w14:paraId="65A24127" w14:textId="36C13A5C" w:rsidTr="00424E21">
        <w:tc>
          <w:tcPr>
            <w:tcW w:w="6445" w:type="dxa"/>
            <w:vAlign w:val="center"/>
          </w:tcPr>
          <w:p w14:paraId="1E205A3E" w14:textId="47C4027C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lastRenderedPageBreak/>
              <w:t xml:space="preserve">Recherche de localisation </w:t>
            </w:r>
            <w:r w:rsidR="00473957">
              <w:rPr>
                <w:rStyle w:val="lev"/>
                <w:b w:val="0"/>
                <w:sz w:val="20"/>
                <w:szCs w:val="20"/>
              </w:rPr>
              <w:t>/</w:t>
            </w:r>
            <w:r w:rsidR="00473957">
              <w:rPr>
                <w:rStyle w:val="lev"/>
                <w:sz w:val="20"/>
                <w:szCs w:val="20"/>
              </w:rPr>
              <w:t xml:space="preserve"> </w:t>
            </w:r>
            <w:r w:rsidR="00473957" w:rsidRPr="00473957">
              <w:rPr>
                <w:rStyle w:val="lev"/>
                <w:b w:val="0"/>
                <w:bCs w:val="0"/>
                <w:sz w:val="20"/>
                <w:szCs w:val="20"/>
              </w:rPr>
              <w:t>Enquête</w:t>
            </w:r>
          </w:p>
        </w:tc>
        <w:tc>
          <w:tcPr>
            <w:tcW w:w="1349" w:type="dxa"/>
            <w:vAlign w:val="center"/>
          </w:tcPr>
          <w:p w14:paraId="5A32B04C" w14:textId="063C7321" w:rsidR="0069731E" w:rsidRPr="001700A3" w:rsidRDefault="0069731E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3</w:t>
            </w:r>
            <w:r w:rsidR="00473957">
              <w:rPr>
                <w:rStyle w:val="lev"/>
                <w:b w:val="0"/>
                <w:sz w:val="20"/>
                <w:szCs w:val="20"/>
              </w:rPr>
              <w:t>5</w:t>
            </w:r>
            <w:r w:rsidRPr="001700A3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14:paraId="2DE8B423" w14:textId="1D646CB6" w:rsidR="0069731E" w:rsidRDefault="00473957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42</w:t>
            </w:r>
            <w:r w:rsidR="00B6094D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</w:tr>
      <w:tr w:rsidR="0069731E" w:rsidRPr="00F741E5" w14:paraId="10A7511A" w14:textId="62156ADE" w:rsidTr="00424E21">
        <w:tc>
          <w:tcPr>
            <w:tcW w:w="6445" w:type="dxa"/>
            <w:vAlign w:val="center"/>
          </w:tcPr>
          <w:p w14:paraId="5921F0A1" w14:textId="3D2F09EE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Vérification au RCS (</w:t>
            </w:r>
            <w:r w:rsidR="00473957" w:rsidRPr="001700A3">
              <w:rPr>
                <w:rStyle w:val="lev"/>
                <w:b w:val="0"/>
                <w:sz w:val="20"/>
                <w:szCs w:val="20"/>
              </w:rPr>
              <w:t>Infogreffe</w:t>
            </w:r>
            <w:r w:rsidRPr="001700A3">
              <w:rPr>
                <w:rStyle w:val="lev"/>
                <w:b w:val="0"/>
                <w:sz w:val="20"/>
                <w:szCs w:val="20"/>
              </w:rPr>
              <w:t>)</w:t>
            </w:r>
          </w:p>
        </w:tc>
        <w:tc>
          <w:tcPr>
            <w:tcW w:w="1349" w:type="dxa"/>
            <w:vAlign w:val="center"/>
          </w:tcPr>
          <w:p w14:paraId="061938DE" w14:textId="021E10D6" w:rsidR="0069731E" w:rsidRPr="001700A3" w:rsidRDefault="0069731E" w:rsidP="00CA01EF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1</w:t>
            </w:r>
            <w:r w:rsidR="004A5C8C">
              <w:rPr>
                <w:rStyle w:val="lev"/>
                <w:b w:val="0"/>
                <w:sz w:val="20"/>
                <w:szCs w:val="20"/>
              </w:rPr>
              <w:t>6</w:t>
            </w:r>
            <w:r w:rsidRPr="001700A3">
              <w:rPr>
                <w:rStyle w:val="lev"/>
                <w:b w:val="0"/>
                <w:sz w:val="20"/>
                <w:szCs w:val="20"/>
              </w:rPr>
              <w:t>,</w:t>
            </w:r>
            <w:r w:rsidR="004A5C8C">
              <w:rPr>
                <w:rStyle w:val="lev"/>
                <w:b w:val="0"/>
                <w:sz w:val="20"/>
                <w:szCs w:val="20"/>
              </w:rPr>
              <w:t>67</w:t>
            </w:r>
          </w:p>
        </w:tc>
        <w:tc>
          <w:tcPr>
            <w:tcW w:w="1268" w:type="dxa"/>
          </w:tcPr>
          <w:p w14:paraId="6AB1A0DC" w14:textId="5065C4FA" w:rsidR="0069731E" w:rsidRPr="001700A3" w:rsidRDefault="004A5C8C" w:rsidP="00CA01EF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20</w:t>
            </w:r>
            <w:r w:rsidR="00B6094D">
              <w:rPr>
                <w:rStyle w:val="lev"/>
                <w:b w:val="0"/>
                <w:sz w:val="20"/>
                <w:szCs w:val="20"/>
              </w:rPr>
              <w:t>,00</w:t>
            </w:r>
          </w:p>
        </w:tc>
      </w:tr>
      <w:tr w:rsidR="0069731E" w:rsidRPr="00F741E5" w14:paraId="68153A1A" w14:textId="519EA342" w:rsidTr="00424E21">
        <w:tc>
          <w:tcPr>
            <w:tcW w:w="6445" w:type="dxa"/>
            <w:vAlign w:val="center"/>
          </w:tcPr>
          <w:p w14:paraId="69C326B6" w14:textId="160E88C9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 xml:space="preserve">Gestion de la traduction des actes et avance des frais de traduction en sus de la facturation des frais du traducteur assermenté au réel </w:t>
            </w:r>
          </w:p>
        </w:tc>
        <w:tc>
          <w:tcPr>
            <w:tcW w:w="1349" w:type="dxa"/>
            <w:vAlign w:val="center"/>
          </w:tcPr>
          <w:p w14:paraId="7EB104E1" w14:textId="77777777" w:rsidR="0069731E" w:rsidRPr="001700A3" w:rsidRDefault="0069731E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100,00</w:t>
            </w:r>
          </w:p>
        </w:tc>
        <w:tc>
          <w:tcPr>
            <w:tcW w:w="1268" w:type="dxa"/>
            <w:vAlign w:val="center"/>
          </w:tcPr>
          <w:p w14:paraId="4DEA0539" w14:textId="28C31F45" w:rsidR="0069731E" w:rsidRPr="001700A3" w:rsidRDefault="00B6094D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120,00</w:t>
            </w:r>
          </w:p>
        </w:tc>
      </w:tr>
      <w:tr w:rsidR="0069731E" w:rsidRPr="00F741E5" w14:paraId="5BE595A1" w14:textId="25D74B47" w:rsidTr="00424E21">
        <w:tc>
          <w:tcPr>
            <w:tcW w:w="6445" w:type="dxa"/>
            <w:vAlign w:val="center"/>
          </w:tcPr>
          <w:p w14:paraId="1162D5C8" w14:textId="77777777" w:rsidR="0069731E" w:rsidRPr="001700A3" w:rsidRDefault="0069731E" w:rsidP="001700A3">
            <w:pPr>
              <w:spacing w:after="60" w:line="240" w:lineRule="atLeast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Désarchivage, délivrance de nouvelles expéditions ou de copies de pièces</w:t>
            </w:r>
          </w:p>
        </w:tc>
        <w:tc>
          <w:tcPr>
            <w:tcW w:w="1349" w:type="dxa"/>
            <w:vAlign w:val="center"/>
          </w:tcPr>
          <w:p w14:paraId="17B0276F" w14:textId="77777777" w:rsidR="0069731E" w:rsidRPr="001700A3" w:rsidRDefault="0069731E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 w:rsidRPr="001700A3">
              <w:rPr>
                <w:rStyle w:val="lev"/>
                <w:b w:val="0"/>
                <w:sz w:val="20"/>
                <w:szCs w:val="20"/>
              </w:rPr>
              <w:t>40,00</w:t>
            </w:r>
          </w:p>
        </w:tc>
        <w:tc>
          <w:tcPr>
            <w:tcW w:w="1268" w:type="dxa"/>
          </w:tcPr>
          <w:p w14:paraId="4F6FA807" w14:textId="0B5797A1" w:rsidR="0069731E" w:rsidRPr="001700A3" w:rsidRDefault="00B6094D" w:rsidP="001700A3">
            <w:pPr>
              <w:spacing w:after="60" w:line="240" w:lineRule="atLeast"/>
              <w:jc w:val="center"/>
              <w:rPr>
                <w:rStyle w:val="lev"/>
                <w:b w:val="0"/>
                <w:sz w:val="20"/>
                <w:szCs w:val="20"/>
              </w:rPr>
            </w:pPr>
            <w:r>
              <w:rPr>
                <w:rStyle w:val="lev"/>
                <w:b w:val="0"/>
                <w:sz w:val="20"/>
                <w:szCs w:val="20"/>
              </w:rPr>
              <w:t>48,00</w:t>
            </w:r>
          </w:p>
        </w:tc>
      </w:tr>
    </w:tbl>
    <w:p w14:paraId="11AA2632" w14:textId="77777777" w:rsidR="001928F4" w:rsidRDefault="001928F4" w:rsidP="001928F4">
      <w:pPr>
        <w:spacing w:after="0" w:line="240" w:lineRule="atLeast"/>
        <w:rPr>
          <w:rFonts w:ascii="Arial" w:hAnsi="Arial" w:cs="Arial"/>
          <w:i/>
          <w:sz w:val="18"/>
          <w:szCs w:val="18"/>
        </w:rPr>
      </w:pPr>
    </w:p>
    <w:p w14:paraId="4788046F" w14:textId="05D89404" w:rsidR="001700A3" w:rsidRDefault="001928F4" w:rsidP="001928F4">
      <w:pPr>
        <w:spacing w:after="0" w:line="240" w:lineRule="atLeas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F37185"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 xml:space="preserve">) </w:t>
      </w:r>
      <w:r w:rsidR="001700A3" w:rsidRPr="001928F4">
        <w:rPr>
          <w:rFonts w:ascii="Arial" w:hAnsi="Arial" w:cs="Arial"/>
          <w:i/>
          <w:sz w:val="18"/>
          <w:szCs w:val="18"/>
        </w:rPr>
        <w:t>Hors convention particuli</w:t>
      </w:r>
      <w:r>
        <w:rPr>
          <w:rFonts w:ascii="Arial" w:hAnsi="Arial" w:cs="Arial"/>
          <w:i/>
          <w:sz w:val="18"/>
          <w:szCs w:val="18"/>
        </w:rPr>
        <w:t>ère</w:t>
      </w:r>
    </w:p>
    <w:p w14:paraId="481EFFF9" w14:textId="49E163A1" w:rsidR="00CC555E" w:rsidRPr="00F37185" w:rsidRDefault="00CC555E" w:rsidP="00F37185">
      <w:pPr>
        <w:spacing w:line="240" w:lineRule="atLeast"/>
        <w:rPr>
          <w:rFonts w:ascii="Arial" w:hAnsi="Arial" w:cs="Arial"/>
          <w:i/>
        </w:rPr>
      </w:pPr>
    </w:p>
    <w:p w14:paraId="338209BD" w14:textId="1202887E" w:rsidR="001036EA" w:rsidRPr="001700A3" w:rsidRDefault="001036EA" w:rsidP="001036EA">
      <w:pPr>
        <w:spacing w:after="0" w:line="240" w:lineRule="atLeast"/>
        <w:rPr>
          <w:rFonts w:ascii="Arial" w:hAnsi="Arial" w:cs="Arial"/>
          <w:b/>
          <w:color w:val="3243BE"/>
          <w:sz w:val="26"/>
          <w:szCs w:val="26"/>
        </w:rPr>
      </w:pPr>
      <w:r w:rsidRPr="001700A3">
        <w:rPr>
          <w:rFonts w:ascii="Arial" w:hAnsi="Arial" w:cs="Arial"/>
          <w:b/>
          <w:color w:val="3243BE"/>
          <w:sz w:val="26"/>
          <w:szCs w:val="26"/>
        </w:rPr>
        <w:t>0</w:t>
      </w:r>
      <w:r>
        <w:rPr>
          <w:rFonts w:ascii="Arial" w:hAnsi="Arial" w:cs="Arial"/>
          <w:b/>
          <w:color w:val="3243BE"/>
          <w:sz w:val="26"/>
          <w:szCs w:val="26"/>
        </w:rPr>
        <w:t>4</w:t>
      </w:r>
      <w:r w:rsidRPr="001700A3">
        <w:rPr>
          <w:rFonts w:ascii="Arial" w:hAnsi="Arial" w:cs="Arial"/>
          <w:b/>
          <w:color w:val="3243BE"/>
          <w:sz w:val="26"/>
          <w:szCs w:val="26"/>
        </w:rPr>
        <w:t xml:space="preserve">. </w:t>
      </w:r>
      <w:r>
        <w:rPr>
          <w:rFonts w:ascii="Arial" w:hAnsi="Arial" w:cs="Arial"/>
          <w:b/>
          <w:color w:val="3243BE"/>
          <w:sz w:val="26"/>
          <w:szCs w:val="26"/>
        </w:rPr>
        <w:t>RESOLUTION DES LITIGES</w:t>
      </w:r>
    </w:p>
    <w:p w14:paraId="1EBC557A" w14:textId="77777777" w:rsidR="001036EA" w:rsidRDefault="001036EA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</w:p>
    <w:p w14:paraId="39DBDA18" w14:textId="34038B91" w:rsidR="001036EA" w:rsidRDefault="00F905B9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F905B9">
        <w:rPr>
          <w:rFonts w:ascii="Arial" w:hAnsi="Arial" w:cs="Arial"/>
          <w:color w:val="4A4A4A"/>
          <w:sz w:val="20"/>
          <w:szCs w:val="20"/>
        </w:rPr>
        <w:t>Les conditions générales de services sont soumises au droit français. En cas de litige, le client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  <w:r w:rsidRPr="00F905B9">
        <w:rPr>
          <w:rFonts w:ascii="Arial" w:hAnsi="Arial" w:cs="Arial"/>
          <w:color w:val="4A4A4A"/>
          <w:sz w:val="20"/>
          <w:szCs w:val="20"/>
        </w:rPr>
        <w:t xml:space="preserve">devra s’adresser par priorité à notre étude par mail à l’adresse suivante : </w:t>
      </w:r>
      <w:hyperlink r:id="rId9" w:history="1">
        <w:r w:rsidR="00311084" w:rsidRPr="008D485A">
          <w:rPr>
            <w:rStyle w:val="Lienhypertexte"/>
            <w:rFonts w:ascii="Arial" w:hAnsi="Arial" w:cs="Arial"/>
            <w:sz w:val="20"/>
            <w:szCs w:val="20"/>
          </w:rPr>
          <w:t>contact@certea-huissier.fr</w:t>
        </w:r>
      </w:hyperlink>
    </w:p>
    <w:p w14:paraId="691FABCD" w14:textId="77777777" w:rsidR="00311084" w:rsidRDefault="00311084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</w:p>
    <w:p w14:paraId="0CAEE22E" w14:textId="12019371" w:rsidR="001036EA" w:rsidRDefault="00F905B9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F905B9">
        <w:rPr>
          <w:rFonts w:ascii="Arial" w:hAnsi="Arial" w:cs="Arial"/>
          <w:color w:val="4A4A4A"/>
          <w:sz w:val="20"/>
          <w:szCs w:val="20"/>
        </w:rPr>
        <w:t>Pour les réclamations à l’encontre de l’étude ou d’un huissier de justice de l’office qui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  <w:r w:rsidRPr="00F905B9">
        <w:rPr>
          <w:rFonts w:ascii="Arial" w:hAnsi="Arial" w:cs="Arial"/>
          <w:color w:val="4A4A4A"/>
          <w:sz w:val="20"/>
          <w:szCs w:val="20"/>
        </w:rPr>
        <w:t>n’aurait pas trouvé de solution auprès de l’étude, il convient d’écrire à la Chambre Régionale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  <w:r w:rsidRPr="00F905B9">
        <w:rPr>
          <w:rFonts w:ascii="Arial" w:hAnsi="Arial" w:cs="Arial"/>
          <w:color w:val="4A4A4A"/>
          <w:sz w:val="20"/>
          <w:szCs w:val="20"/>
        </w:rPr>
        <w:t>des Commissaires de Justice de la Cour d’Appel de Paris 1/3 rue de Penthièvre 75008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  <w:r w:rsidRPr="00F905B9">
        <w:rPr>
          <w:rFonts w:ascii="Arial" w:hAnsi="Arial" w:cs="Arial"/>
          <w:color w:val="4A4A4A"/>
          <w:sz w:val="20"/>
          <w:szCs w:val="20"/>
        </w:rPr>
        <w:t>PARIS, service des réclamations en joignant une copie circonstanciée et une copie des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  <w:r w:rsidRPr="00F905B9">
        <w:rPr>
          <w:rFonts w:ascii="Arial" w:hAnsi="Arial" w:cs="Arial"/>
          <w:color w:val="4A4A4A"/>
          <w:sz w:val="20"/>
          <w:szCs w:val="20"/>
        </w:rPr>
        <w:t>documents utiles à la compréhension de la difficulté (article 15-11 Ordonnance n° 2016-728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  <w:r w:rsidRPr="00F905B9">
        <w:rPr>
          <w:rFonts w:ascii="Arial" w:hAnsi="Arial" w:cs="Arial"/>
          <w:color w:val="4A4A4A"/>
          <w:sz w:val="20"/>
          <w:szCs w:val="20"/>
        </w:rPr>
        <w:t>du 2 juin 2016 relative au statut de commissaire de justice)</w:t>
      </w:r>
      <w:r>
        <w:rPr>
          <w:rFonts w:ascii="Arial" w:hAnsi="Arial" w:cs="Arial"/>
          <w:color w:val="4A4A4A"/>
          <w:sz w:val="20"/>
          <w:szCs w:val="20"/>
        </w:rPr>
        <w:t xml:space="preserve">. </w:t>
      </w:r>
    </w:p>
    <w:p w14:paraId="679439C2" w14:textId="40CAC9B3" w:rsidR="001036EA" w:rsidRPr="001036EA" w:rsidRDefault="001036EA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036EA">
        <w:rPr>
          <w:rFonts w:ascii="Arial" w:hAnsi="Arial" w:cs="Arial"/>
          <w:color w:val="4A4A4A"/>
          <w:sz w:val="20"/>
          <w:szCs w:val="20"/>
        </w:rPr>
        <w:t xml:space="preserve">En cas de litige non résolu, vous avez la possibilité de saisir le Médiateur de la Consommation </w:t>
      </w:r>
      <w:r w:rsidR="00311084">
        <w:rPr>
          <w:rFonts w:ascii="Arial" w:hAnsi="Arial" w:cs="Arial"/>
          <w:color w:val="4A4A4A"/>
          <w:sz w:val="20"/>
          <w:szCs w:val="20"/>
        </w:rPr>
        <w:t xml:space="preserve">désigné par </w:t>
      </w:r>
      <w:proofErr w:type="spellStart"/>
      <w:r w:rsidR="00311084">
        <w:rPr>
          <w:rFonts w:ascii="Arial" w:hAnsi="Arial" w:cs="Arial"/>
          <w:color w:val="4A4A4A"/>
          <w:sz w:val="20"/>
          <w:szCs w:val="20"/>
        </w:rPr>
        <w:t>Certea</w:t>
      </w:r>
      <w:proofErr w:type="spellEnd"/>
      <w:r w:rsidR="00311084">
        <w:rPr>
          <w:rFonts w:ascii="Arial" w:hAnsi="Arial" w:cs="Arial"/>
          <w:color w:val="4A4A4A"/>
          <w:sz w:val="20"/>
          <w:szCs w:val="20"/>
        </w:rPr>
        <w:t xml:space="preserve"> </w:t>
      </w:r>
      <w:r>
        <w:rPr>
          <w:rFonts w:ascii="Arial" w:hAnsi="Arial" w:cs="Arial"/>
          <w:color w:val="4A4A4A"/>
          <w:sz w:val="20"/>
          <w:szCs w:val="20"/>
        </w:rPr>
        <w:t>aux coordonnées suivantes</w:t>
      </w:r>
      <w:r w:rsidRPr="001036EA">
        <w:rPr>
          <w:rFonts w:ascii="Arial" w:hAnsi="Arial" w:cs="Arial"/>
          <w:color w:val="4A4A4A"/>
          <w:sz w:val="20"/>
          <w:szCs w:val="20"/>
        </w:rPr>
        <w:t xml:space="preserve"> :</w:t>
      </w:r>
    </w:p>
    <w:p w14:paraId="3C78B2ED" w14:textId="77777777" w:rsidR="001036EA" w:rsidRPr="001036EA" w:rsidRDefault="001036EA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036EA">
        <w:rPr>
          <w:rFonts w:ascii="Arial" w:hAnsi="Arial" w:cs="Arial"/>
          <w:color w:val="4A4A4A"/>
          <w:sz w:val="20"/>
          <w:szCs w:val="20"/>
        </w:rPr>
        <w:t>CM2C Centre de Médiation de la Consommation de Conciliateur de Justice.</w:t>
      </w:r>
    </w:p>
    <w:p w14:paraId="7D74F3B4" w14:textId="77777777" w:rsidR="001036EA" w:rsidRPr="001036EA" w:rsidRDefault="001036EA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036EA">
        <w:rPr>
          <w:rFonts w:ascii="Arial" w:hAnsi="Arial" w:cs="Arial"/>
          <w:color w:val="4A4A4A"/>
          <w:sz w:val="20"/>
          <w:szCs w:val="20"/>
        </w:rPr>
        <w:t>Par courrier, à l’adresse suivante : 14 rue Saint Jean 75017 Paris</w:t>
      </w:r>
    </w:p>
    <w:p w14:paraId="0AB636C8" w14:textId="77777777" w:rsidR="001036EA" w:rsidRPr="001036EA" w:rsidRDefault="001036EA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036EA">
        <w:rPr>
          <w:rFonts w:ascii="Arial" w:hAnsi="Arial" w:cs="Arial"/>
          <w:color w:val="4A4A4A"/>
          <w:sz w:val="20"/>
          <w:szCs w:val="20"/>
        </w:rPr>
        <w:t>Par mail, à : cm2c@cm2c.net</w:t>
      </w:r>
    </w:p>
    <w:p w14:paraId="0B6049D6" w14:textId="06F57785" w:rsidR="001036EA" w:rsidRPr="001036EA" w:rsidRDefault="00000000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hyperlink r:id="rId10" w:history="1">
        <w:r w:rsidR="00311084" w:rsidRPr="008D485A">
          <w:rPr>
            <w:rStyle w:val="Lienhypertexte"/>
            <w:rFonts w:ascii="Arial" w:hAnsi="Arial" w:cs="Arial"/>
            <w:sz w:val="20"/>
            <w:szCs w:val="20"/>
          </w:rPr>
          <w:t>https://www.cm2c.net/comment-nous-saisir.php</w:t>
        </w:r>
      </w:hyperlink>
      <w:r w:rsidR="001036EA">
        <w:rPr>
          <w:rFonts w:ascii="Arial" w:hAnsi="Arial" w:cs="Arial"/>
          <w:color w:val="4A4A4A"/>
          <w:sz w:val="20"/>
          <w:szCs w:val="20"/>
        </w:rPr>
        <w:t xml:space="preserve"> </w:t>
      </w:r>
    </w:p>
    <w:p w14:paraId="24BC58AB" w14:textId="69365D94" w:rsidR="001036EA" w:rsidRDefault="00F905B9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F905B9">
        <w:rPr>
          <w:rFonts w:ascii="Arial" w:hAnsi="Arial" w:cs="Arial"/>
          <w:color w:val="4A4A4A"/>
          <w:sz w:val="20"/>
          <w:szCs w:val="20"/>
        </w:rPr>
        <w:t>Conformément à l’article L612-1 du code de la consommation, tout consommateur a le droit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  <w:r w:rsidRPr="00F905B9">
        <w:rPr>
          <w:rFonts w:ascii="Arial" w:hAnsi="Arial" w:cs="Arial"/>
          <w:color w:val="4A4A4A"/>
          <w:sz w:val="20"/>
          <w:szCs w:val="20"/>
        </w:rPr>
        <w:t>de recourir gratuitement à un médiateur de la consommation en vue de la résolution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  <w:r w:rsidRPr="00F905B9">
        <w:rPr>
          <w:rFonts w:ascii="Arial" w:hAnsi="Arial" w:cs="Arial"/>
          <w:color w:val="4A4A4A"/>
          <w:sz w:val="20"/>
          <w:szCs w:val="20"/>
        </w:rPr>
        <w:t>amiable du litige qui l’oppose à un professionnel. A cet effet, le professionnel garantit au</w:t>
      </w:r>
      <w:r>
        <w:rPr>
          <w:rFonts w:ascii="Arial" w:hAnsi="Arial" w:cs="Arial"/>
          <w:color w:val="4A4A4A"/>
          <w:sz w:val="20"/>
          <w:szCs w:val="20"/>
        </w:rPr>
        <w:t xml:space="preserve"> </w:t>
      </w:r>
      <w:r w:rsidRPr="00F905B9">
        <w:rPr>
          <w:rFonts w:ascii="Arial" w:hAnsi="Arial" w:cs="Arial"/>
          <w:color w:val="4A4A4A"/>
          <w:sz w:val="20"/>
          <w:szCs w:val="20"/>
        </w:rPr>
        <w:t>consommateur le recours effectif à un dispositif de médiation de la consommation ».</w:t>
      </w:r>
    </w:p>
    <w:p w14:paraId="31FE17FC" w14:textId="77777777" w:rsidR="00F905B9" w:rsidRPr="00F37185" w:rsidRDefault="00F905B9" w:rsidP="00F905B9">
      <w:pPr>
        <w:spacing w:line="240" w:lineRule="atLeast"/>
        <w:rPr>
          <w:rFonts w:ascii="Arial" w:hAnsi="Arial" w:cs="Arial"/>
          <w:i/>
        </w:rPr>
      </w:pPr>
    </w:p>
    <w:p w14:paraId="7BEAFA7B" w14:textId="170285F6" w:rsidR="00F905B9" w:rsidRDefault="00F905B9" w:rsidP="00F905B9">
      <w:pPr>
        <w:spacing w:after="0" w:line="240" w:lineRule="atLeast"/>
        <w:rPr>
          <w:rFonts w:ascii="Arial" w:hAnsi="Arial" w:cs="Arial"/>
          <w:b/>
          <w:color w:val="3243BE"/>
          <w:sz w:val="26"/>
          <w:szCs w:val="26"/>
        </w:rPr>
      </w:pPr>
      <w:r w:rsidRPr="001700A3">
        <w:rPr>
          <w:rFonts w:ascii="Arial" w:hAnsi="Arial" w:cs="Arial"/>
          <w:b/>
          <w:color w:val="3243BE"/>
          <w:sz w:val="26"/>
          <w:szCs w:val="26"/>
        </w:rPr>
        <w:t>0</w:t>
      </w:r>
      <w:r>
        <w:rPr>
          <w:rFonts w:ascii="Arial" w:hAnsi="Arial" w:cs="Arial"/>
          <w:b/>
          <w:color w:val="3243BE"/>
          <w:sz w:val="26"/>
          <w:szCs w:val="26"/>
        </w:rPr>
        <w:t>5</w:t>
      </w:r>
      <w:r w:rsidRPr="001700A3">
        <w:rPr>
          <w:rFonts w:ascii="Arial" w:hAnsi="Arial" w:cs="Arial"/>
          <w:b/>
          <w:color w:val="3243BE"/>
          <w:sz w:val="26"/>
          <w:szCs w:val="26"/>
        </w:rPr>
        <w:t xml:space="preserve">. </w:t>
      </w:r>
      <w:r w:rsidR="00157AC4">
        <w:rPr>
          <w:rFonts w:ascii="Arial" w:hAnsi="Arial" w:cs="Arial"/>
          <w:b/>
          <w:color w:val="3243BE"/>
          <w:sz w:val="26"/>
          <w:szCs w:val="26"/>
        </w:rPr>
        <w:t>DELAIS DE REGLEMENT ET ESCOMPTE</w:t>
      </w:r>
    </w:p>
    <w:p w14:paraId="06C3669B" w14:textId="77777777" w:rsidR="00A43BC6" w:rsidRDefault="00A43BC6" w:rsidP="00A43BC6">
      <w:pPr>
        <w:spacing w:after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46BEA82" w14:textId="75EC569B" w:rsidR="00A43BC6" w:rsidRDefault="00A43BC6" w:rsidP="00A43BC6">
      <w:pPr>
        <w:spacing w:after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F1D83">
        <w:rPr>
          <w:rFonts w:ascii="Arial" w:hAnsi="Arial" w:cs="Arial"/>
          <w:sz w:val="20"/>
          <w:szCs w:val="20"/>
          <w:shd w:val="clear" w:color="auto" w:fill="FFFFFF"/>
        </w:rPr>
        <w:t>Le prix est payable comptant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et</w:t>
      </w:r>
      <w:r w:rsidRPr="006F1D83">
        <w:rPr>
          <w:rFonts w:ascii="Arial" w:hAnsi="Arial" w:cs="Arial"/>
          <w:sz w:val="20"/>
          <w:szCs w:val="20"/>
          <w:shd w:val="clear" w:color="auto" w:fill="FFFFFF"/>
        </w:rPr>
        <w:t xml:space="preserve"> en totalité </w:t>
      </w:r>
      <w:r>
        <w:rPr>
          <w:rFonts w:ascii="Arial" w:hAnsi="Arial" w:cs="Arial"/>
          <w:sz w:val="20"/>
          <w:szCs w:val="20"/>
          <w:shd w:val="clear" w:color="auto" w:fill="FFFFFF"/>
        </w:rPr>
        <w:t>le</w:t>
      </w:r>
      <w:r w:rsidRPr="006F1D83">
        <w:rPr>
          <w:rFonts w:ascii="Arial" w:hAnsi="Arial" w:cs="Arial"/>
          <w:sz w:val="20"/>
          <w:szCs w:val="20"/>
          <w:shd w:val="clear" w:color="auto" w:fill="FFFFFF"/>
        </w:rPr>
        <w:t xml:space="preserve"> jour de la </w:t>
      </w:r>
      <w:r>
        <w:rPr>
          <w:rFonts w:ascii="Arial" w:hAnsi="Arial" w:cs="Arial"/>
          <w:sz w:val="20"/>
          <w:szCs w:val="20"/>
          <w:shd w:val="clear" w:color="auto" w:fill="FFFFFF"/>
        </w:rPr>
        <w:t>prestation de service fournie et facturée pour un particulier et dans un délai maximum de 30 jours pour un professionnel</w:t>
      </w:r>
      <w:r w:rsidRPr="006F1D83"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Il n’y a pas d’escompte en cas de paiement anticipé.</w:t>
      </w:r>
    </w:p>
    <w:p w14:paraId="1B3D9438" w14:textId="77777777" w:rsidR="00A43BC6" w:rsidRPr="001700A3" w:rsidRDefault="00A43BC6" w:rsidP="00F905B9">
      <w:pPr>
        <w:spacing w:after="0" w:line="240" w:lineRule="atLeast"/>
        <w:rPr>
          <w:rFonts w:ascii="Arial" w:hAnsi="Arial" w:cs="Arial"/>
          <w:b/>
          <w:color w:val="3243BE"/>
          <w:sz w:val="26"/>
          <w:szCs w:val="26"/>
        </w:rPr>
      </w:pPr>
    </w:p>
    <w:p w14:paraId="00983C05" w14:textId="77777777" w:rsidR="00F905B9" w:rsidRDefault="00F905B9" w:rsidP="00F905B9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</w:p>
    <w:p w14:paraId="724009BF" w14:textId="0808EBCB" w:rsidR="00157AC4" w:rsidRPr="001700A3" w:rsidRDefault="00157AC4" w:rsidP="00157AC4">
      <w:pPr>
        <w:spacing w:after="0" w:line="240" w:lineRule="atLeast"/>
        <w:rPr>
          <w:rFonts w:ascii="Arial" w:hAnsi="Arial" w:cs="Arial"/>
          <w:b/>
          <w:color w:val="3243BE"/>
          <w:sz w:val="26"/>
          <w:szCs w:val="26"/>
        </w:rPr>
      </w:pPr>
      <w:r w:rsidRPr="001700A3">
        <w:rPr>
          <w:rFonts w:ascii="Arial" w:hAnsi="Arial" w:cs="Arial"/>
          <w:b/>
          <w:color w:val="3243BE"/>
          <w:sz w:val="26"/>
          <w:szCs w:val="26"/>
        </w:rPr>
        <w:t>0</w:t>
      </w:r>
      <w:r>
        <w:rPr>
          <w:rFonts w:ascii="Arial" w:hAnsi="Arial" w:cs="Arial"/>
          <w:b/>
          <w:color w:val="3243BE"/>
          <w:sz w:val="26"/>
          <w:szCs w:val="26"/>
        </w:rPr>
        <w:t>6</w:t>
      </w:r>
      <w:r w:rsidRPr="001700A3">
        <w:rPr>
          <w:rFonts w:ascii="Arial" w:hAnsi="Arial" w:cs="Arial"/>
          <w:b/>
          <w:color w:val="3243BE"/>
          <w:sz w:val="26"/>
          <w:szCs w:val="26"/>
        </w:rPr>
        <w:t xml:space="preserve">. </w:t>
      </w:r>
      <w:r>
        <w:rPr>
          <w:rFonts w:ascii="Arial" w:hAnsi="Arial" w:cs="Arial"/>
          <w:b/>
          <w:color w:val="3243BE"/>
          <w:sz w:val="26"/>
          <w:szCs w:val="26"/>
        </w:rPr>
        <w:t>PENALITES DE RETARD POUR UN PROFESSIONNEL</w:t>
      </w:r>
    </w:p>
    <w:p w14:paraId="2234B81D" w14:textId="77777777" w:rsidR="00A43BC6" w:rsidRDefault="00A43BC6" w:rsidP="00157AC4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</w:p>
    <w:p w14:paraId="48703D7F" w14:textId="16CF1A68" w:rsidR="00157AC4" w:rsidRPr="00157AC4" w:rsidRDefault="00157AC4" w:rsidP="00157AC4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57AC4">
        <w:rPr>
          <w:rFonts w:ascii="Arial" w:hAnsi="Arial" w:cs="Arial"/>
          <w:color w:val="4A4A4A"/>
          <w:sz w:val="20"/>
          <w:szCs w:val="20"/>
        </w:rPr>
        <w:t xml:space="preserve">Une </w:t>
      </w:r>
      <w:r w:rsidRPr="008979C8">
        <w:rPr>
          <w:rFonts w:ascii="Arial" w:hAnsi="Arial" w:cs="Arial"/>
          <w:b/>
          <w:bCs/>
          <w:color w:val="4A4A4A"/>
          <w:sz w:val="20"/>
          <w:szCs w:val="20"/>
        </w:rPr>
        <w:t>indemnité forfaitaire fixée à 40 euros</w:t>
      </w:r>
      <w:r w:rsidRPr="00157AC4">
        <w:rPr>
          <w:rFonts w:ascii="Arial" w:hAnsi="Arial" w:cs="Arial"/>
          <w:color w:val="4A4A4A"/>
          <w:sz w:val="20"/>
          <w:szCs w:val="20"/>
        </w:rPr>
        <w:t xml:space="preserve"> (</w:t>
      </w:r>
      <w:hyperlink r:id="rId11" w:history="1">
        <w:r w:rsidRPr="00157AC4">
          <w:rPr>
            <w:rStyle w:val="Lienhypertexte"/>
            <w:rFonts w:ascii="Arial" w:hAnsi="Arial" w:cs="Arial"/>
            <w:sz w:val="20"/>
            <w:szCs w:val="20"/>
          </w:rPr>
          <w:t>article D441-5</w:t>
        </w:r>
      </w:hyperlink>
      <w:r w:rsidRPr="00157AC4">
        <w:rPr>
          <w:rFonts w:ascii="Arial" w:hAnsi="Arial" w:cs="Arial"/>
          <w:color w:val="4A4A4A"/>
          <w:sz w:val="20"/>
          <w:szCs w:val="20"/>
        </w:rPr>
        <w:t xml:space="preserve"> et </w:t>
      </w:r>
      <w:hyperlink r:id="rId12" w:anchor="LEGISCTA000038411051" w:history="1">
        <w:r w:rsidRPr="00157AC4">
          <w:rPr>
            <w:rStyle w:val="Lienhypertexte"/>
            <w:rFonts w:ascii="Arial" w:hAnsi="Arial" w:cs="Arial"/>
            <w:sz w:val="20"/>
            <w:szCs w:val="20"/>
          </w:rPr>
          <w:t>L441-9 du Code de Commerce</w:t>
        </w:r>
      </w:hyperlink>
      <w:r w:rsidRPr="00157AC4">
        <w:rPr>
          <w:rFonts w:ascii="Arial" w:hAnsi="Arial" w:cs="Arial"/>
          <w:color w:val="4A4A4A"/>
          <w:sz w:val="20"/>
          <w:szCs w:val="20"/>
        </w:rPr>
        <w:t>) sera due en cas de non-paiement de la facture dans un délai de 30 jours de sa date d’émission.</w:t>
      </w:r>
    </w:p>
    <w:p w14:paraId="6F564182" w14:textId="77777777" w:rsidR="00157AC4" w:rsidRDefault="00157AC4" w:rsidP="00157AC4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57AC4">
        <w:rPr>
          <w:rFonts w:ascii="Arial" w:hAnsi="Arial" w:cs="Arial"/>
          <w:color w:val="4A4A4A"/>
          <w:sz w:val="20"/>
          <w:szCs w:val="20"/>
        </w:rPr>
        <w:t>Tout professionnel en situation de retard de paiement est de plein droit débiteur, à l'égard du prestataire, de cette indemnité forfaitaire pour frais de recouvrement.</w:t>
      </w:r>
    </w:p>
    <w:p w14:paraId="23C6AF07" w14:textId="63FF799B" w:rsidR="00A43BC6" w:rsidRPr="00157AC4" w:rsidRDefault="00A43BC6" w:rsidP="00157AC4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FB47F5">
        <w:rPr>
          <w:rStyle w:val="Accentuation"/>
          <w:rFonts w:ascii="Arial" w:hAnsi="Arial" w:cs="Arial"/>
          <w:i w:val="0"/>
          <w:iCs w:val="0"/>
          <w:color w:val="000000"/>
          <w:sz w:val="20"/>
          <w:szCs w:val="20"/>
        </w:rPr>
        <w:t>En cas de retard de paiement, seront exigibles, conformément à l'article L 441-6 du code de commerce, des pénalités de retard calculées sur la base de trois fois le taux de l'intérêt légal</w:t>
      </w:r>
    </w:p>
    <w:p w14:paraId="7B0A7800" w14:textId="02719B00" w:rsidR="00157AC4" w:rsidRPr="001036EA" w:rsidRDefault="00157AC4" w:rsidP="00157AC4">
      <w:pPr>
        <w:spacing w:after="0" w:line="240" w:lineRule="atLeast"/>
        <w:jc w:val="both"/>
        <w:rPr>
          <w:rFonts w:ascii="Arial" w:hAnsi="Arial" w:cs="Arial"/>
          <w:color w:val="4A4A4A"/>
          <w:sz w:val="20"/>
          <w:szCs w:val="20"/>
        </w:rPr>
      </w:pPr>
      <w:r w:rsidRPr="00157AC4">
        <w:rPr>
          <w:rFonts w:ascii="Arial" w:hAnsi="Arial" w:cs="Arial"/>
          <w:color w:val="4A4A4A"/>
          <w:sz w:val="20"/>
          <w:szCs w:val="20"/>
        </w:rPr>
        <w:t>En cas de non-respect des conditions de paiement figurant ci-dessus, le prestataire se réserve en outre le droit de suspendre la fourniture des services commandés par le Client et de suspendre plus généralement l’exécution de ses obligations à l’égard du client.</w:t>
      </w:r>
    </w:p>
    <w:p w14:paraId="7DDEA3E4" w14:textId="77777777" w:rsidR="00F905B9" w:rsidRPr="001928F4" w:rsidRDefault="00F905B9" w:rsidP="00F905B9">
      <w:pPr>
        <w:spacing w:after="0" w:line="240" w:lineRule="atLeast"/>
        <w:jc w:val="both"/>
        <w:rPr>
          <w:rFonts w:ascii="Arial" w:hAnsi="Arial" w:cs="Arial"/>
          <w:i/>
          <w:sz w:val="18"/>
          <w:szCs w:val="18"/>
        </w:rPr>
      </w:pPr>
    </w:p>
    <w:sectPr w:rsidR="00F905B9" w:rsidRPr="001928F4" w:rsidSect="001036EA">
      <w:headerReference w:type="default" r:id="rId13"/>
      <w:footerReference w:type="default" r:id="rId14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9C615" w14:textId="77777777" w:rsidR="005D08C8" w:rsidRDefault="005D08C8" w:rsidP="001700A3">
      <w:pPr>
        <w:spacing w:after="0" w:line="240" w:lineRule="auto"/>
      </w:pPr>
      <w:r>
        <w:separator/>
      </w:r>
    </w:p>
  </w:endnote>
  <w:endnote w:type="continuationSeparator" w:id="0">
    <w:p w14:paraId="3A1B561E" w14:textId="77777777" w:rsidR="005D08C8" w:rsidRDefault="005D08C8" w:rsidP="0017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5163" w14:textId="77777777" w:rsidR="001928F4" w:rsidRDefault="001928F4" w:rsidP="001928F4">
    <w:pPr>
      <w:pStyle w:val="Pieddepage"/>
      <w:jc w:val="center"/>
      <w:rPr>
        <w:rFonts w:ascii="Arial" w:hAnsi="Arial" w:cs="Arial"/>
        <w:sz w:val="16"/>
        <w:szCs w:val="16"/>
      </w:rPr>
    </w:pPr>
    <w:r w:rsidRPr="006F7D69">
      <w:rPr>
        <w:rFonts w:ascii="Arial" w:hAnsi="Arial" w:cs="Arial"/>
        <w:sz w:val="16"/>
        <w:szCs w:val="16"/>
      </w:rPr>
      <w:t xml:space="preserve">103, rue La Fayette 75010 Paris </w:t>
    </w:r>
    <w:r w:rsidRPr="006F7D69">
      <w:rPr>
        <w:rFonts w:ascii="Arial" w:hAnsi="Arial" w:cs="Arial"/>
        <w:sz w:val="16"/>
        <w:szCs w:val="16"/>
        <w:shd w:val="clear" w:color="auto" w:fill="FFFFFF"/>
      </w:rPr>
      <w:t>•</w:t>
    </w:r>
    <w:r w:rsidRPr="006F7D69">
      <w:rPr>
        <w:rFonts w:ascii="Arial" w:hAnsi="Arial" w:cs="Arial"/>
        <w:sz w:val="16"/>
        <w:szCs w:val="16"/>
      </w:rPr>
      <w:t xml:space="preserve"> Tél : 01 44 53 84 81 </w:t>
    </w:r>
    <w:r w:rsidRPr="006F7D69">
      <w:rPr>
        <w:rFonts w:ascii="Arial" w:hAnsi="Arial" w:cs="Arial"/>
        <w:sz w:val="16"/>
        <w:szCs w:val="16"/>
        <w:shd w:val="clear" w:color="auto" w:fill="FFFFFF"/>
      </w:rPr>
      <w:t>•</w:t>
    </w:r>
    <w:r w:rsidRPr="006F7D69">
      <w:rPr>
        <w:rFonts w:ascii="Arial" w:hAnsi="Arial" w:cs="Arial"/>
        <w:sz w:val="16"/>
        <w:szCs w:val="16"/>
      </w:rPr>
      <w:t xml:space="preserve"> Fax : 01 44 53 84 83</w:t>
    </w:r>
  </w:p>
  <w:p w14:paraId="16913289" w14:textId="77777777" w:rsidR="001928F4" w:rsidRPr="001928F4" w:rsidRDefault="00000000" w:rsidP="001928F4">
    <w:pPr>
      <w:pStyle w:val="Pieddepage"/>
      <w:jc w:val="center"/>
      <w:rPr>
        <w:rFonts w:ascii="Arial" w:hAnsi="Arial" w:cs="Arial"/>
        <w:sz w:val="16"/>
        <w:szCs w:val="16"/>
      </w:rPr>
    </w:pPr>
    <w:hyperlink r:id="rId1" w:history="1">
      <w:r w:rsidR="001928F4" w:rsidRPr="006F7D69">
        <w:rPr>
          <w:rStyle w:val="Lienhypertexte"/>
          <w:rFonts w:ascii="Arial" w:hAnsi="Arial" w:cs="Arial"/>
          <w:color w:val="3244BE"/>
          <w:sz w:val="16"/>
          <w:szCs w:val="16"/>
          <w:u w:val="none"/>
        </w:rPr>
        <w:t>certea@huissierdeparis.com</w:t>
      </w:r>
    </w:hyperlink>
    <w:r w:rsidR="001928F4" w:rsidRPr="006F7D69">
      <w:rPr>
        <w:rFonts w:ascii="Arial" w:hAnsi="Arial" w:cs="Arial"/>
        <w:color w:val="3244BE"/>
        <w:sz w:val="16"/>
        <w:szCs w:val="16"/>
      </w:rPr>
      <w:t xml:space="preserve"> </w:t>
    </w:r>
    <w:r w:rsidR="001928F4" w:rsidRPr="006F7D69">
      <w:rPr>
        <w:rFonts w:ascii="Arial" w:hAnsi="Arial" w:cs="Arial"/>
        <w:color w:val="777777"/>
        <w:sz w:val="16"/>
        <w:szCs w:val="16"/>
        <w:shd w:val="clear" w:color="auto" w:fill="FFFFFF"/>
      </w:rPr>
      <w:t>•</w:t>
    </w:r>
    <w:r w:rsidR="001928F4" w:rsidRPr="006F7D69">
      <w:rPr>
        <w:rFonts w:ascii="Arial" w:hAnsi="Arial" w:cs="Arial"/>
        <w:color w:val="3244BE"/>
        <w:sz w:val="16"/>
        <w:szCs w:val="16"/>
      </w:rPr>
      <w:t xml:space="preserve"> www.certea-huissier.fr</w:t>
    </w:r>
  </w:p>
  <w:p w14:paraId="5B4C7700" w14:textId="77777777" w:rsidR="001928F4" w:rsidRDefault="001928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B8662" w14:textId="77777777" w:rsidR="005D08C8" w:rsidRDefault="005D08C8" w:rsidP="001700A3">
      <w:pPr>
        <w:spacing w:after="0" w:line="240" w:lineRule="auto"/>
      </w:pPr>
      <w:r>
        <w:separator/>
      </w:r>
    </w:p>
  </w:footnote>
  <w:footnote w:type="continuationSeparator" w:id="0">
    <w:p w14:paraId="72BD995A" w14:textId="77777777" w:rsidR="005D08C8" w:rsidRDefault="005D08C8" w:rsidP="0017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C782" w14:textId="7C9D9E6F" w:rsidR="001700A3" w:rsidRDefault="00F905B9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2362310" wp14:editId="5417B2BB">
          <wp:simplePos x="0" y="0"/>
          <wp:positionH relativeFrom="column">
            <wp:posOffset>-20129</wp:posOffset>
          </wp:positionH>
          <wp:positionV relativeFrom="paragraph">
            <wp:posOffset>-324945</wp:posOffset>
          </wp:positionV>
          <wp:extent cx="1544128" cy="1065661"/>
          <wp:effectExtent l="0" t="0" r="0" b="1270"/>
          <wp:wrapNone/>
          <wp:docPr id="12545839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128" cy="1065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0A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A2BAA7" wp14:editId="6CF57234">
              <wp:simplePos x="0" y="0"/>
              <wp:positionH relativeFrom="column">
                <wp:posOffset>2002790</wp:posOffset>
              </wp:positionH>
              <wp:positionV relativeFrom="paragraph">
                <wp:posOffset>79213</wp:posOffset>
              </wp:positionV>
              <wp:extent cx="4635500" cy="382772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0" cy="3827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C9657" w14:textId="77777777" w:rsidR="001700A3" w:rsidRPr="001700A3" w:rsidRDefault="001700A3" w:rsidP="001700A3">
                          <w:pPr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1700A3">
                            <w:rPr>
                              <w:rFonts w:ascii="Arial" w:hAnsi="Arial"/>
                              <w:color w:val="FFFFFF" w:themeColor="background1"/>
                              <w:sz w:val="40"/>
                              <w:szCs w:val="40"/>
                            </w:rPr>
                            <w:t>CO</w:t>
                          </w:r>
                          <w:r w:rsidR="003E782C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>U</w:t>
                          </w:r>
                          <w:r w:rsidRPr="001700A3">
                            <w:rPr>
                              <w:rFonts w:ascii="Arial" w:hAnsi="Arial"/>
                              <w:color w:val="FFFFFF" w:themeColor="background1"/>
                              <w:sz w:val="40"/>
                              <w:szCs w:val="40"/>
                            </w:rPr>
                            <w:t>T DES PRESTATIONS</w:t>
                          </w:r>
                        </w:p>
                        <w:p w14:paraId="50007AB2" w14:textId="77777777" w:rsidR="001700A3" w:rsidRPr="001700A3" w:rsidRDefault="001700A3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2BAA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57.7pt;margin-top:6.25pt;width:36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" filled="f" stroked="f" strokeweight=".5pt">
              <v:textbox>
                <w:txbxContent>
                  <w:p w14:paraId="595C9657" w14:textId="77777777" w:rsidR="001700A3" w:rsidRPr="001700A3" w:rsidRDefault="001700A3" w:rsidP="001700A3">
                    <w:pPr>
                      <w:jc w:val="center"/>
                      <w:rPr>
                        <w:rFonts w:ascii="Arial" w:hAnsi="Arial"/>
                        <w:color w:val="FFFFFF" w:themeColor="background1"/>
                        <w:sz w:val="40"/>
                        <w:szCs w:val="40"/>
                      </w:rPr>
                    </w:pPr>
                    <w:r w:rsidRPr="001700A3">
                      <w:rPr>
                        <w:rFonts w:ascii="Arial" w:hAnsi="Arial"/>
                        <w:color w:val="FFFFFF" w:themeColor="background1"/>
                        <w:sz w:val="40"/>
                        <w:szCs w:val="40"/>
                      </w:rPr>
                      <w:t>CO</w:t>
                    </w:r>
                    <w:r w:rsidR="003E782C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>U</w:t>
                    </w:r>
                    <w:r w:rsidRPr="001700A3">
                      <w:rPr>
                        <w:rFonts w:ascii="Arial" w:hAnsi="Arial"/>
                        <w:color w:val="FFFFFF" w:themeColor="background1"/>
                        <w:sz w:val="40"/>
                        <w:szCs w:val="40"/>
                      </w:rPr>
                      <w:t>T DES PRESTATIONS</w:t>
                    </w:r>
                  </w:p>
                  <w:p w14:paraId="50007AB2" w14:textId="77777777" w:rsidR="001700A3" w:rsidRPr="001700A3" w:rsidRDefault="001700A3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1700A3" w:rsidRPr="001700A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EED3D0" wp14:editId="02409C85">
              <wp:simplePos x="0" y="0"/>
              <wp:positionH relativeFrom="column">
                <wp:posOffset>779780</wp:posOffset>
              </wp:positionH>
              <wp:positionV relativeFrom="paragraph">
                <wp:posOffset>-375285</wp:posOffset>
              </wp:positionV>
              <wp:extent cx="1222375" cy="1249045"/>
              <wp:effectExtent l="57150" t="19050" r="53975" b="8445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2375" cy="12490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chemeClr val="bg1">
                            <a:alpha val="35000"/>
                          </a:schemeClr>
                        </a:outerShdw>
                      </a:effectLst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527F7" id="Rectangle 4" o:spid="_x0000_s1026" style="position:absolute;margin-left:61.4pt;margin-top:-29.55pt;width:96.25pt;height:9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" fillcolor="white [3212]" stroked="f">
              <v:shadow on="t" color="white [3212]" opacity="22937f" origin=",.5" offset="0,.63889mm"/>
            </v:rect>
          </w:pict>
        </mc:Fallback>
      </mc:AlternateContent>
    </w:r>
    <w:r w:rsidR="001700A3" w:rsidRPr="001700A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C15883" wp14:editId="2B6D43EE">
              <wp:simplePos x="0" y="0"/>
              <wp:positionH relativeFrom="column">
                <wp:posOffset>1236980</wp:posOffset>
              </wp:positionH>
              <wp:positionV relativeFrom="paragraph">
                <wp:posOffset>-683260</wp:posOffset>
              </wp:positionV>
              <wp:extent cx="8458200" cy="1637030"/>
              <wp:effectExtent l="57150" t="19050" r="57150" b="774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8200" cy="1637030"/>
                      </a:xfrm>
                      <a:prstGeom prst="rect">
                        <a:avLst/>
                      </a:prstGeom>
                      <a:solidFill>
                        <a:srgbClr val="3243BE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chemeClr val="bg1">
                            <a:alpha val="35000"/>
                          </a:schemeClr>
                        </a:outerShdw>
                      </a:effectLst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E50DD" id="Rectangle 5" o:spid="_x0000_s1026" style="position:absolute;margin-left:97.4pt;margin-top:-53.8pt;width:666pt;height:12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" fillcolor="#3243be" stroked="f">
              <v:shadow on="t" color="white [3212]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9062E"/>
    <w:multiLevelType w:val="hybridMultilevel"/>
    <w:tmpl w:val="8EE8EA82"/>
    <w:lvl w:ilvl="0" w:tplc="E070BC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F18"/>
    <w:multiLevelType w:val="hybridMultilevel"/>
    <w:tmpl w:val="98A6A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3CB7"/>
    <w:multiLevelType w:val="hybridMultilevel"/>
    <w:tmpl w:val="C0CE1E54"/>
    <w:lvl w:ilvl="0" w:tplc="B0CC33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06695">
    <w:abstractNumId w:val="1"/>
  </w:num>
  <w:num w:numId="2" w16cid:durableId="370152045">
    <w:abstractNumId w:val="2"/>
  </w:num>
  <w:num w:numId="3" w16cid:durableId="4437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A3"/>
    <w:rsid w:val="00026A23"/>
    <w:rsid w:val="00037897"/>
    <w:rsid w:val="000B49C0"/>
    <w:rsid w:val="000C1C17"/>
    <w:rsid w:val="000D3FDB"/>
    <w:rsid w:val="000F01B7"/>
    <w:rsid w:val="001036EA"/>
    <w:rsid w:val="00154344"/>
    <w:rsid w:val="00157AC4"/>
    <w:rsid w:val="00161361"/>
    <w:rsid w:val="001700A3"/>
    <w:rsid w:val="001928F4"/>
    <w:rsid w:val="001C6B22"/>
    <w:rsid w:val="002120C3"/>
    <w:rsid w:val="00297F72"/>
    <w:rsid w:val="002D4DB0"/>
    <w:rsid w:val="00311084"/>
    <w:rsid w:val="003D6C86"/>
    <w:rsid w:val="003E782C"/>
    <w:rsid w:val="00424E21"/>
    <w:rsid w:val="00432E06"/>
    <w:rsid w:val="00473957"/>
    <w:rsid w:val="00495CCD"/>
    <w:rsid w:val="004A5C8C"/>
    <w:rsid w:val="005277B9"/>
    <w:rsid w:val="00546F6E"/>
    <w:rsid w:val="005D08C8"/>
    <w:rsid w:val="00623B72"/>
    <w:rsid w:val="006675CA"/>
    <w:rsid w:val="0069731E"/>
    <w:rsid w:val="00745A07"/>
    <w:rsid w:val="00745F0D"/>
    <w:rsid w:val="00757B8E"/>
    <w:rsid w:val="007F2DBB"/>
    <w:rsid w:val="007F626D"/>
    <w:rsid w:val="008278B7"/>
    <w:rsid w:val="00836492"/>
    <w:rsid w:val="00874E91"/>
    <w:rsid w:val="008979C8"/>
    <w:rsid w:val="00900F9C"/>
    <w:rsid w:val="00921E78"/>
    <w:rsid w:val="009247E6"/>
    <w:rsid w:val="00926D26"/>
    <w:rsid w:val="009321E5"/>
    <w:rsid w:val="00946067"/>
    <w:rsid w:val="009E470A"/>
    <w:rsid w:val="009F48E2"/>
    <w:rsid w:val="00A01237"/>
    <w:rsid w:val="00A43BC6"/>
    <w:rsid w:val="00AA1BFB"/>
    <w:rsid w:val="00B0076A"/>
    <w:rsid w:val="00B50391"/>
    <w:rsid w:val="00B6094D"/>
    <w:rsid w:val="00B91181"/>
    <w:rsid w:val="00B978C5"/>
    <w:rsid w:val="00BA1314"/>
    <w:rsid w:val="00BA36F9"/>
    <w:rsid w:val="00C42456"/>
    <w:rsid w:val="00C61698"/>
    <w:rsid w:val="00CA01EF"/>
    <w:rsid w:val="00CC0E6C"/>
    <w:rsid w:val="00CC555E"/>
    <w:rsid w:val="00CE0AC6"/>
    <w:rsid w:val="00D36A59"/>
    <w:rsid w:val="00D41F2D"/>
    <w:rsid w:val="00D56FFD"/>
    <w:rsid w:val="00D67330"/>
    <w:rsid w:val="00D96D70"/>
    <w:rsid w:val="00DD7875"/>
    <w:rsid w:val="00E30FDE"/>
    <w:rsid w:val="00E545B5"/>
    <w:rsid w:val="00F37185"/>
    <w:rsid w:val="00F905B9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206E"/>
  <w15:docId w15:val="{E2662D18-C3B3-4B86-AC8F-6EE39923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0A3"/>
  </w:style>
  <w:style w:type="paragraph" w:styleId="Pieddepage">
    <w:name w:val="footer"/>
    <w:basedOn w:val="Normal"/>
    <w:link w:val="PieddepageCar"/>
    <w:uiPriority w:val="99"/>
    <w:unhideWhenUsed/>
    <w:rsid w:val="0017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0A3"/>
  </w:style>
  <w:style w:type="character" w:styleId="Lienhypertexte">
    <w:name w:val="Hyperlink"/>
    <w:basedOn w:val="Policepardfaut"/>
    <w:uiPriority w:val="99"/>
    <w:unhideWhenUsed/>
    <w:rsid w:val="001700A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700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00A3"/>
    <w:rPr>
      <w:b/>
      <w:bCs/>
    </w:rPr>
  </w:style>
  <w:style w:type="table" w:styleId="Grilledutableau">
    <w:name w:val="Table Grid"/>
    <w:basedOn w:val="TableauNormal"/>
    <w:uiPriority w:val="59"/>
    <w:rsid w:val="0017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AC6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495CC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076A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A43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tat.certea-commissairedejustice.f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codes/section_lc/LEGITEXT000005634379/LEGISCTA000032127742/2024-09-02/" TargetMode="External"/><Relationship Id="rId12" Type="http://schemas.openxmlformats.org/officeDocument/2006/relationships/hyperlink" Target="https://www.legifrance.gouv.fr/codes/section_lc/LEGITEXT000005634379/LEGISCTA00003841105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codes/article_lc/LEGIARTI00004319745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m2c.net/comment-nous-saisi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certea-huissier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ea@huissierdepar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849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Timothé</dc:creator>
  <cp:lastModifiedBy>Beatrice DUQUERROY</cp:lastModifiedBy>
  <cp:revision>2</cp:revision>
  <cp:lastPrinted>2024-09-06T11:06:00Z</cp:lastPrinted>
  <dcterms:created xsi:type="dcterms:W3CDTF">2024-09-06T11:24:00Z</dcterms:created>
  <dcterms:modified xsi:type="dcterms:W3CDTF">2024-09-06T11:24:00Z</dcterms:modified>
</cp:coreProperties>
</file>